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A2" w:rsidRDefault="003674A2" w:rsidP="003674A2">
      <w:pPr>
        <w:ind w:rightChars="-330" w:right="-1056"/>
        <w:rPr>
          <w:rFonts w:ascii="仿宋" w:hAnsi="仿宋" w:cstheme="minorBidi"/>
          <w:color w:val="FF0000"/>
          <w:spacing w:val="2"/>
          <w:w w:val="52"/>
          <w:szCs w:val="32"/>
        </w:rPr>
      </w:pPr>
      <w:bookmarkStart w:id="0" w:name="_GoBack"/>
      <w:bookmarkEnd w:id="0"/>
      <w:r>
        <w:rPr>
          <w:rFonts w:ascii="方正大标宋简体" w:eastAsia="方正大标宋简体" w:hAnsi="Times New Roman" w:cstheme="minorBidi" w:hint="eastAsia"/>
          <w:color w:val="FF0000"/>
          <w:spacing w:val="2"/>
          <w:w w:val="52"/>
          <w:sz w:val="144"/>
          <w:szCs w:val="20"/>
        </w:rPr>
        <w:t>东营市东营区人民法院文件</w:t>
      </w:r>
    </w:p>
    <w:p w:rsidR="003674A2" w:rsidRDefault="003674A2" w:rsidP="003674A2">
      <w:pPr>
        <w:ind w:rightChars="-330" w:right="-1056"/>
        <w:rPr>
          <w:rFonts w:ascii="仿宋" w:hAnsi="仿宋" w:cstheme="minorBidi"/>
          <w:color w:val="FF0000"/>
          <w:spacing w:val="2"/>
          <w:w w:val="52"/>
          <w:szCs w:val="32"/>
        </w:rPr>
      </w:pPr>
    </w:p>
    <w:p w:rsidR="003674A2" w:rsidRDefault="003674A2" w:rsidP="003674A2">
      <w:pPr>
        <w:ind w:rightChars="-330" w:right="-1056"/>
        <w:rPr>
          <w:rFonts w:ascii="仿宋" w:hAnsi="仿宋" w:cstheme="minorBidi"/>
          <w:color w:val="FF0000"/>
          <w:spacing w:val="2"/>
          <w:w w:val="52"/>
          <w:szCs w:val="32"/>
        </w:rPr>
      </w:pPr>
    </w:p>
    <w:p w:rsidR="003674A2" w:rsidRDefault="003674A2" w:rsidP="003674A2">
      <w:pPr>
        <w:spacing w:line="240" w:lineRule="exact"/>
        <w:rPr>
          <w:rFonts w:asciiTheme="minorHAnsi" w:hAnsiTheme="minorHAnsi" w:cstheme="minorBidi"/>
        </w:rPr>
      </w:pPr>
    </w:p>
    <w:p w:rsidR="003674A2" w:rsidRDefault="003674A2" w:rsidP="003674A2">
      <w:pPr>
        <w:spacing w:line="300" w:lineRule="exact"/>
        <w:rPr>
          <w:rFonts w:asciiTheme="minorHAnsi" w:hAnsiTheme="minorHAnsi" w:cstheme="minorBidi"/>
        </w:rPr>
      </w:pPr>
    </w:p>
    <w:p w:rsidR="003674A2" w:rsidRDefault="003674A2" w:rsidP="003674A2">
      <w:pPr>
        <w:spacing w:line="300" w:lineRule="exact"/>
        <w:jc w:val="center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东区法发〔2021〕42号</w:t>
      </w:r>
    </w:p>
    <w:p w:rsidR="003674A2" w:rsidRDefault="003674A2" w:rsidP="003674A2">
      <w:pPr>
        <w:tabs>
          <w:tab w:val="left" w:pos="6495"/>
        </w:tabs>
        <w:spacing w:line="300" w:lineRule="exact"/>
        <w:rPr>
          <w:rFonts w:ascii="仿宋_GB2312" w:eastAsia="仿宋_GB2312" w:hAnsiTheme="minorEastAsia" w:cstheme="minorBidi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73660</wp:posOffset>
                </wp:positionV>
                <wp:extent cx="5676900" cy="28575"/>
                <wp:effectExtent l="57150" t="38100" r="57150" b="476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rgbClr val="FF0000"/>
                          </a:extrusionClr>
                        </a:sp3d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5.8pt" to="447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" strokecolor="red" strokeweight="1pt"/>
            </w:pict>
          </mc:Fallback>
        </mc:AlternateContent>
      </w:r>
      <w:r>
        <w:rPr>
          <w:rFonts w:ascii="仿宋_GB2312" w:eastAsia="仿宋_GB2312" w:hAnsiTheme="minorEastAsia" w:cstheme="minorBidi" w:hint="eastAsia"/>
          <w:szCs w:val="32"/>
        </w:rPr>
        <w:tab/>
      </w:r>
    </w:p>
    <w:p w:rsidR="003674A2" w:rsidRDefault="003674A2" w:rsidP="003674A2">
      <w:pPr>
        <w:spacing w:line="72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3674A2" w:rsidRDefault="003674A2" w:rsidP="003674A2">
      <w:pPr>
        <w:spacing w:line="7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东营市东营区人民法院</w:t>
      </w:r>
    </w:p>
    <w:p w:rsidR="003674A2" w:rsidRDefault="003674A2" w:rsidP="003674A2">
      <w:pPr>
        <w:spacing w:line="7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“法理融情 和谐乡里”多元解纷实施办法</w:t>
      </w:r>
    </w:p>
    <w:p w:rsidR="003674A2" w:rsidRDefault="003674A2" w:rsidP="003674A2">
      <w:pPr>
        <w:spacing w:line="72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3674A2" w:rsidRDefault="003674A2" w:rsidP="003674A2">
      <w:pPr>
        <w:spacing w:line="68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为深入贯彻落实习近平总书记提出的“坚持把非诉讼纠纷解决机制挺在前面”重要指示精神，深入推进诉源治理、创新司法便民利民方式，加大群众矛盾纠纷化解力度，结合党史学习教育和政法队伍教育整顿中“我为群众办实事”工作要求，制定本办法。</w:t>
      </w:r>
    </w:p>
    <w:p w:rsidR="003674A2" w:rsidRDefault="003674A2" w:rsidP="003674A2">
      <w:pPr>
        <w:spacing w:line="680" w:lineRule="exact"/>
        <w:ind w:firstLineChars="200"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一、指导思想</w:t>
      </w:r>
    </w:p>
    <w:p w:rsidR="003674A2" w:rsidRDefault="003674A2" w:rsidP="003674A2">
      <w:pPr>
        <w:spacing w:line="68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以习近平新时代中国特色社会主义思想为指导，树牢“四个意识”，坚定“四个自信”，做到“两个维护”，延伸</w:t>
      </w:r>
      <w:r>
        <w:rPr>
          <w:rFonts w:ascii="仿宋_GB2312" w:eastAsia="仿宋_GB2312" w:hAnsi="Times New Roman" w:hint="eastAsia"/>
          <w:szCs w:val="32"/>
        </w:rPr>
        <w:lastRenderedPageBreak/>
        <w:t>司法职能，下沉审判力量，将矛盾纠纷化解在基层、解决在萌芽，实现预防在前、发现在早、化解在小的诉源治理效果，努力为人民群众的幸福美好生活提供优质的法律服务与保障。</w:t>
      </w:r>
    </w:p>
    <w:p w:rsidR="003674A2" w:rsidRDefault="003674A2" w:rsidP="003674A2">
      <w:pPr>
        <w:spacing w:line="680" w:lineRule="exact"/>
        <w:ind w:firstLineChars="200"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二、目标任务</w:t>
      </w:r>
    </w:p>
    <w:p w:rsidR="003674A2" w:rsidRDefault="003674A2" w:rsidP="003674A2">
      <w:pPr>
        <w:spacing w:line="68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创新开展多元解纷机制，积极参与基层社会综合治理，与基层政法单位、基层自治组织、调解组织有效衔接，加大普法宣传力度，形成覆盖全区的矛盾解纷服务网络，为人民群众提供就近、便捷、高效的司法服务，让“法理融情、和谐乡里”理念深入人心，切实维护人民群众的合法权益。</w:t>
      </w:r>
    </w:p>
    <w:p w:rsidR="003674A2" w:rsidRDefault="003674A2" w:rsidP="003674A2">
      <w:pPr>
        <w:spacing w:line="680" w:lineRule="exact"/>
        <w:ind w:firstLineChars="250" w:firstLine="80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三、工作措施</w:t>
      </w:r>
    </w:p>
    <w:p w:rsidR="003674A2" w:rsidRDefault="003674A2" w:rsidP="003674A2">
      <w:pPr>
        <w:spacing w:line="68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（一）开通绿色通道 提供精准服务</w:t>
      </w:r>
    </w:p>
    <w:p w:rsidR="003674A2" w:rsidRDefault="003674A2" w:rsidP="003674A2">
      <w:pPr>
        <w:spacing w:line="68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楷体" w:eastAsia="楷体" w:hAnsi="楷体" w:hint="eastAsia"/>
          <w:szCs w:val="32"/>
        </w:rPr>
        <w:t>1、搭建“社区涉老纠纷”化解绿色通道。</w:t>
      </w:r>
      <w:r>
        <w:rPr>
          <w:rFonts w:ascii="仿宋_GB2312" w:eastAsia="仿宋_GB2312" w:hAnsi="Times New Roman" w:hint="eastAsia"/>
          <w:szCs w:val="32"/>
        </w:rPr>
        <w:t>与社区老年办等相关单位联动，针对老年人在赡养、婚姻、继承、居住等方面遇到的困惑，定期到社区开展老年人普法宣传讲座，发放老年人权益保护普法宣传单页，为老年人提供法律咨询。依托“法官工作室”和“法官联络点”，建立并畅通老年人权益保护和“涉老”纠纷化解的绿色通道，切实提高老年人法律意识，拓展维权渠道，就地化解纠纷，减轻老年人诉累，维护其合法权益。</w:t>
      </w:r>
    </w:p>
    <w:p w:rsidR="003674A2" w:rsidRDefault="003674A2" w:rsidP="003674A2">
      <w:pPr>
        <w:spacing w:line="68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楷体" w:eastAsia="楷体" w:hAnsi="楷体" w:hint="eastAsia"/>
          <w:szCs w:val="32"/>
        </w:rPr>
        <w:lastRenderedPageBreak/>
        <w:t>2、畅通“社区妇女儿童纠纷”维权绿色通道。</w:t>
      </w:r>
      <w:r>
        <w:rPr>
          <w:rFonts w:ascii="仿宋_GB2312" w:eastAsia="仿宋_GB2312" w:hAnsi="Times New Roman" w:hint="eastAsia"/>
          <w:szCs w:val="32"/>
        </w:rPr>
        <w:t>与镇街司法所、妇联等部门，积极探索社区妇女儿童普法维权举措，形成前期司法所、妇联接待、前期教育，中期诉前调解、法律援助，后期司法诉讼、释法答疑的“一条龙”服务。对严重侵害妇女、儿童权益的案件开辟“绿色通道”，从诉前鉴定、诉前调解、司法诉讼等方面，帮助妇女儿童便捷、快速解决纠纷，节约其维权成本，提升家事纠纷化解效果，维护妇女儿童权益，确保家庭、社会和谐稳定。</w:t>
      </w:r>
    </w:p>
    <w:p w:rsidR="003674A2" w:rsidRDefault="003674A2" w:rsidP="003674A2">
      <w:pPr>
        <w:spacing w:line="68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楷体" w:eastAsia="楷体" w:hAnsi="楷体" w:hint="eastAsia"/>
          <w:szCs w:val="32"/>
        </w:rPr>
        <w:t>3、开辟“外来务工人员纠纷”维权绿色通道。</w:t>
      </w:r>
      <w:r>
        <w:rPr>
          <w:rFonts w:ascii="仿宋_GB2312" w:eastAsia="仿宋_GB2312" w:hAnsi="Times New Roman" w:hint="eastAsia"/>
          <w:szCs w:val="32"/>
        </w:rPr>
        <w:t>公正高效审理涉及拖欠外来务工人员追讨工资、工伤待遇、劳动争议等案件，对案件事实清楚、法律关系明确的纠纷，快立、快审、快执，及时督促企业和用人单位履行法律义务，切实为农民工撑起司法“保护伞”。结合志愿服务，定期到商场、企业、村居等地，开展外来务工人员法治宣传教育，重点普及交通、流动人口管理、消防、劳动合同等生产生活方面的管理法规，提供免费法律咨询，积极帮助外来人口融入当地生活，增强归属感，减少矛盾纠纷。</w:t>
      </w:r>
    </w:p>
    <w:p w:rsidR="003674A2" w:rsidRDefault="003674A2" w:rsidP="003674A2">
      <w:pPr>
        <w:spacing w:line="68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 丰富普法内容 创新宣传形式</w:t>
      </w:r>
    </w:p>
    <w:p w:rsidR="003674A2" w:rsidRDefault="003674A2" w:rsidP="003674A2">
      <w:pPr>
        <w:spacing w:line="68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1、用好各种普法手段，结合“宪法日”、“环境日”等重大节点，深入镇街、社区、学校，借助宣传栏、老年活动中心、市民学校、城市广场等公共场所，开展法治讲座、法律知识问答、提供法律咨询、发放普法手册等活动，切实提高普法宣传频次和实效。</w:t>
      </w:r>
    </w:p>
    <w:p w:rsidR="003674A2" w:rsidRDefault="003674A2" w:rsidP="003674A2">
      <w:pPr>
        <w:spacing w:line="68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2、定期开展普法活动，到“法官工作室”、“法官联络点”所在的社区，进行民法典、居民委员会法、公证法、治安管理处罚法等法律法规宣讲工作，发挥法治宣传教育在社区治安综合治理中的预防作用，提高社区居民的法治观念和维权意识。</w:t>
      </w:r>
    </w:p>
    <w:p w:rsidR="003674A2" w:rsidRDefault="003674A2" w:rsidP="003674A2">
      <w:pPr>
        <w:spacing w:line="68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3、积极创新普法形式，围绕“法理融情、和谐乡里”主题，开展“法官说法”，撰写普法案例，利用微信、微博、抖音等新媒体客户端进行普法宣传，进一步扩大普法范围。</w:t>
      </w:r>
    </w:p>
    <w:p w:rsidR="003674A2" w:rsidRDefault="003674A2" w:rsidP="003674A2">
      <w:pPr>
        <w:spacing w:line="68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（三）加强部门联动 强化基层解纷</w:t>
      </w:r>
    </w:p>
    <w:p w:rsidR="003674A2" w:rsidRDefault="003674A2" w:rsidP="003674A2">
      <w:pPr>
        <w:spacing w:line="68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 xml:space="preserve">1、充分发挥辖区司法所、派出所、综治办熟悉当地民俗社情和信息灵、情况明、善调解的优势，与其建立联动调解工作机制，对易引发重大社会问题、易产生群体性诉讼的纠纷及时排查和预警，将矛盾纠纷化解在基层；加强与区妇联、工会、仲裁委等部门的对接，强化对婚姻家庭纠纷、劳动争议案件的调解力度，形成化解矛盾纠纷的合力。 </w:t>
      </w:r>
    </w:p>
    <w:p w:rsidR="003674A2" w:rsidRDefault="003674A2" w:rsidP="003674A2">
      <w:pPr>
        <w:spacing w:line="68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2、秉承“宁可法官多跑路，不让群众多跑腿”的便民诉讼意识，与镇街和村居调解组织联动，就地调解、当场解纷。定期对人民调解员进行法律培训，指导镇街调解组织规范制作调解文书，引导街道社区建立规范的人民调解机制，将快捷高效的解决矛盾纠纷机制延伸到网格化管理的“神经末梢”，将矛盾化解在基层，消除在萌芽，努力做到“小事不出村居，大事不出镇街”。</w:t>
      </w:r>
    </w:p>
    <w:p w:rsidR="003674A2" w:rsidRDefault="003674A2" w:rsidP="003674A2">
      <w:pPr>
        <w:spacing w:line="680" w:lineRule="exact"/>
        <w:ind w:firstLineChars="299" w:firstLine="957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四、工作要求</w:t>
      </w:r>
    </w:p>
    <w:p w:rsidR="003674A2" w:rsidRDefault="003674A2" w:rsidP="003674A2">
      <w:pPr>
        <w:spacing w:line="68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（一）统一思想 高度重视</w:t>
      </w:r>
    </w:p>
    <w:p w:rsidR="003674A2" w:rsidRDefault="003674A2" w:rsidP="003674A2">
      <w:pPr>
        <w:spacing w:line="68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“我为群众办实事”是党史学习教育和教育整顿的重要内容，干警思想上要高度重视，把完成上述工作作为学党史、悟思想、办实事、开新局的有力抓手，切实提高责任感，把该项工作落到实处。做到既立足当前，解决群众“急难愁盼”的具体问题，又着眼长远，完善矛盾多元解纷机制，确保将政法队伍教育整顿成果转化为司法审判为民服务实效。</w:t>
      </w:r>
    </w:p>
    <w:p w:rsidR="003674A2" w:rsidRDefault="003674A2" w:rsidP="003674A2">
      <w:pPr>
        <w:spacing w:line="68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（二）细化任务 推动落实</w:t>
      </w:r>
    </w:p>
    <w:p w:rsidR="003674A2" w:rsidRDefault="003674A2" w:rsidP="003674A2">
      <w:pPr>
        <w:spacing w:line="68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要将多元解纷志愿服务列入法院重要的议事日程，明确工作任务、责任分工、时间节点和责任人员，做到统一组织、分类实施、层层负责。坚持院领导亲自抓，同时结合“法官工作室”和“法官联络点”，把推进“法理融情、和谐乡里”多元解纷工作作为参与和指导社区多元解纷工作的重点，打造矛盾多元化解的典型标杆。</w:t>
      </w:r>
    </w:p>
    <w:p w:rsidR="003674A2" w:rsidRDefault="003674A2" w:rsidP="003674A2">
      <w:pPr>
        <w:spacing w:line="680" w:lineRule="exact"/>
        <w:ind w:firstLineChars="200" w:firstLine="640"/>
        <w:rPr>
          <w:rFonts w:ascii="楷体" w:eastAsia="楷体" w:hAnsi="楷体"/>
          <w:szCs w:val="32"/>
        </w:rPr>
      </w:pPr>
      <w:r>
        <w:rPr>
          <w:rFonts w:ascii="楷体" w:eastAsia="楷体" w:hAnsi="楷体" w:hint="eastAsia"/>
          <w:szCs w:val="32"/>
        </w:rPr>
        <w:t>（三）积极对接 凝聚合力</w:t>
      </w:r>
    </w:p>
    <w:p w:rsidR="003674A2" w:rsidRDefault="003674A2" w:rsidP="003674A2">
      <w:pPr>
        <w:spacing w:line="680" w:lineRule="exact"/>
        <w:ind w:firstLineChars="200" w:firstLine="640"/>
        <w:rPr>
          <w:rFonts w:ascii="仿宋_GB2312" w:eastAsia="仿宋_GB2312" w:hAnsi="Times New Roman"/>
          <w:szCs w:val="32"/>
        </w:rPr>
      </w:pPr>
      <w:r>
        <w:rPr>
          <w:rFonts w:ascii="仿宋_GB2312" w:eastAsia="仿宋_GB2312" w:hAnsi="Times New Roman" w:hint="eastAsia"/>
          <w:szCs w:val="32"/>
        </w:rPr>
        <w:t>要加强与辖区内司法所、派出所、综治办等联动调解工作部门的对口联系，围绕“法理融情、和谐乡里”多元解纷各项工作任务，压紧压实工作责任，合力推进实践活动任务落地。加强成果报送和沟通交流，定期与联动调解工作部门分享任务进展情况、建立工作台账动态、规范资料文档；定期组织回访，及时了解社区居民对活动开展的满意度情况，切实提升工作开展效果。</w:t>
      </w:r>
    </w:p>
    <w:p w:rsidR="003674A2" w:rsidRDefault="003674A2" w:rsidP="003674A2">
      <w:pPr>
        <w:spacing w:line="680" w:lineRule="exact"/>
      </w:pPr>
    </w:p>
    <w:p w:rsidR="003674A2" w:rsidRDefault="003674A2" w:rsidP="003674A2">
      <w:pPr>
        <w:spacing w:line="680" w:lineRule="exact"/>
      </w:pPr>
    </w:p>
    <w:p w:rsidR="003674A2" w:rsidRDefault="003674A2" w:rsidP="003674A2">
      <w:pPr>
        <w:spacing w:line="680" w:lineRule="exact"/>
      </w:pPr>
    </w:p>
    <w:p w:rsidR="003674A2" w:rsidRDefault="003674A2" w:rsidP="003674A2">
      <w:pPr>
        <w:spacing w:line="680" w:lineRule="exact"/>
      </w:pPr>
    </w:p>
    <w:p w:rsidR="003674A2" w:rsidRDefault="003674A2" w:rsidP="003674A2">
      <w:pPr>
        <w:spacing w:line="680" w:lineRule="exact"/>
      </w:pPr>
    </w:p>
    <w:p w:rsidR="003674A2" w:rsidRDefault="003674A2" w:rsidP="003674A2">
      <w:pPr>
        <w:spacing w:line="680" w:lineRule="exact"/>
      </w:pPr>
      <w:r>
        <w:t xml:space="preserve">                                       2021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</w:t>
      </w:r>
    </w:p>
    <w:p w:rsidR="003674A2" w:rsidRDefault="003674A2" w:rsidP="003674A2">
      <w:pPr>
        <w:spacing w:line="680" w:lineRule="exact"/>
      </w:pPr>
    </w:p>
    <w:p w:rsidR="003674A2" w:rsidRDefault="003674A2" w:rsidP="003674A2">
      <w:pPr>
        <w:spacing w:line="680" w:lineRule="exact"/>
      </w:pPr>
    </w:p>
    <w:p w:rsidR="003674A2" w:rsidRDefault="003674A2" w:rsidP="003674A2">
      <w:pPr>
        <w:spacing w:line="680" w:lineRule="exact"/>
      </w:pPr>
    </w:p>
    <w:p w:rsidR="003674A2" w:rsidRDefault="003674A2" w:rsidP="003674A2">
      <w:pPr>
        <w:spacing w:line="680" w:lineRule="exact"/>
      </w:pPr>
    </w:p>
    <w:p w:rsidR="003674A2" w:rsidRDefault="003674A2" w:rsidP="003674A2">
      <w:pPr>
        <w:spacing w:line="680" w:lineRule="exact"/>
      </w:pPr>
    </w:p>
    <w:p w:rsidR="003674A2" w:rsidRDefault="003674A2" w:rsidP="003674A2">
      <w:pPr>
        <w:spacing w:line="580" w:lineRule="exact"/>
        <w:ind w:firstLineChars="1684" w:firstLine="5389"/>
        <w:rPr>
          <w:rFonts w:ascii="仿宋_GB2312" w:eastAsia="仿宋_GB2312"/>
          <w:bCs/>
          <w:szCs w:val="32"/>
        </w:rPr>
      </w:pPr>
    </w:p>
    <w:tbl>
      <w:tblPr>
        <w:tblpPr w:leftFromText="180" w:rightFromText="180" w:vertAnchor="text" w:horzAnchor="margin" w:tblpXSpec="center" w:tblpY="215"/>
        <w:tblW w:w="9945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5"/>
      </w:tblGrid>
      <w:tr w:rsidR="003674A2" w:rsidTr="003674A2">
        <w:trPr>
          <w:trHeight w:val="990"/>
        </w:trPr>
        <w:tc>
          <w:tcPr>
            <w:tcW w:w="9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674A2" w:rsidRDefault="003674A2">
            <w:pPr>
              <w:spacing w:line="580" w:lineRule="exac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 w:hint="eastAsia"/>
                <w:bCs/>
                <w:szCs w:val="32"/>
              </w:rPr>
              <w:t>送：本院领导</w:t>
            </w:r>
          </w:p>
          <w:p w:rsidR="003674A2" w:rsidRDefault="003674A2">
            <w:pPr>
              <w:spacing w:line="580" w:lineRule="exac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 w:hint="eastAsia"/>
                <w:bCs/>
                <w:szCs w:val="32"/>
              </w:rPr>
              <w:t xml:space="preserve">发：本院各部门、审判执行团队，存档                                        </w:t>
            </w:r>
          </w:p>
        </w:tc>
      </w:tr>
      <w:tr w:rsidR="003674A2" w:rsidTr="003674A2">
        <w:trPr>
          <w:trHeight w:val="656"/>
        </w:trPr>
        <w:tc>
          <w:tcPr>
            <w:tcW w:w="9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674A2" w:rsidRDefault="003674A2">
            <w:pPr>
              <w:spacing w:line="580" w:lineRule="exac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 w:hint="eastAsia"/>
                <w:bCs/>
                <w:szCs w:val="32"/>
              </w:rPr>
              <w:t>东营区人民法院综合办公室                  2021年7月22日印发</w:t>
            </w:r>
          </w:p>
        </w:tc>
      </w:tr>
    </w:tbl>
    <w:p w:rsidR="003674A2" w:rsidRDefault="003674A2" w:rsidP="003674A2">
      <w:pPr>
        <w:spacing w:line="680" w:lineRule="exact"/>
      </w:pPr>
    </w:p>
    <w:p w:rsidR="00F25EB0" w:rsidRPr="003674A2" w:rsidRDefault="00F25EB0"/>
    <w:sectPr w:rsidR="00F25EB0" w:rsidRPr="00367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CF" w:rsidRDefault="00A33FCF" w:rsidP="003674A2">
      <w:r>
        <w:separator/>
      </w:r>
    </w:p>
  </w:endnote>
  <w:endnote w:type="continuationSeparator" w:id="0">
    <w:p w:rsidR="00A33FCF" w:rsidRDefault="00A33FCF" w:rsidP="0036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CF" w:rsidRDefault="00A33FCF" w:rsidP="003674A2">
      <w:r>
        <w:separator/>
      </w:r>
    </w:p>
  </w:footnote>
  <w:footnote w:type="continuationSeparator" w:id="0">
    <w:p w:rsidR="00A33FCF" w:rsidRDefault="00A33FCF" w:rsidP="0036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78"/>
    <w:rsid w:val="00145B78"/>
    <w:rsid w:val="00220E05"/>
    <w:rsid w:val="003674A2"/>
    <w:rsid w:val="00671BFC"/>
    <w:rsid w:val="00A33FCF"/>
    <w:rsid w:val="00DA552E"/>
    <w:rsid w:val="00F2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A2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4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A2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2021-11-03T02:14:00Z</dcterms:created>
  <dcterms:modified xsi:type="dcterms:W3CDTF">2021-11-03T02:14:00Z</dcterms:modified>
</cp:coreProperties>
</file>