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30" w:rsidRPr="00BD419F" w:rsidRDefault="00F472F3" w:rsidP="00BD419F">
      <w:pPr>
        <w:widowControl/>
        <w:shd w:val="clear" w:color="auto" w:fill="FFFFFF"/>
        <w:spacing w:before="300" w:after="375" w:line="720" w:lineRule="atLeast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48"/>
          <w:szCs w:val="48"/>
        </w:rPr>
      </w:pPr>
      <w:r w:rsidRPr="005E2BBE">
        <w:rPr>
          <w:rFonts w:ascii="微软雅黑" w:eastAsia="微软雅黑" w:hAnsi="微软雅黑" w:cs="宋体" w:hint="eastAsia"/>
          <w:b/>
          <w:bCs/>
          <w:color w:val="000000"/>
          <w:kern w:val="0"/>
          <w:sz w:val="48"/>
          <w:szCs w:val="48"/>
        </w:rPr>
        <w:t>2019年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48"/>
          <w:szCs w:val="48"/>
        </w:rPr>
        <w:t>济南市</w:t>
      </w:r>
      <w:r w:rsidRPr="005E2BBE">
        <w:rPr>
          <w:rFonts w:ascii="微软雅黑" w:eastAsia="微软雅黑" w:hAnsi="微软雅黑" w:cs="宋体" w:hint="eastAsia"/>
          <w:b/>
          <w:bCs/>
          <w:color w:val="000000"/>
          <w:kern w:val="0"/>
          <w:sz w:val="48"/>
          <w:szCs w:val="48"/>
        </w:rPr>
        <w:t>面向法学专业应届毕业生选拔录用人民法院法官助理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48"/>
          <w:szCs w:val="48"/>
        </w:rPr>
        <w:t>体检</w:t>
      </w:r>
      <w:r w:rsidRPr="005E2BBE">
        <w:rPr>
          <w:rFonts w:ascii="微软雅黑" w:eastAsia="微软雅黑" w:hAnsi="微软雅黑" w:cs="宋体" w:hint="eastAsia"/>
          <w:b/>
          <w:bCs/>
          <w:color w:val="000000"/>
          <w:kern w:val="0"/>
          <w:sz w:val="48"/>
          <w:szCs w:val="48"/>
        </w:rPr>
        <w:t>公告</w:t>
      </w:r>
    </w:p>
    <w:p w:rsidR="00D62830" w:rsidRPr="00F03848" w:rsidRDefault="00D62830" w:rsidP="00F03848">
      <w:pPr>
        <w:widowControl/>
        <w:shd w:val="clear" w:color="auto" w:fill="FFFFFF"/>
        <w:spacing w:before="300" w:after="375" w:line="720" w:lineRule="atLeast"/>
        <w:ind w:firstLine="645"/>
        <w:jc w:val="center"/>
        <w:outlineLvl w:val="2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根据</w:t>
      </w:r>
      <w:r w:rsidR="00F472F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《</w:t>
      </w:r>
      <w:r w:rsidR="00F472F3" w:rsidRPr="00F472F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2019年山东省面向法学专业应届毕业生选拔录用人民法院法官助理、人民检察院检察官助理公告</w:t>
      </w:r>
      <w:r w:rsidR="00F472F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》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等有关规定，现就2019年济南市</w:t>
      </w:r>
      <w:r w:rsidR="00F472F3" w:rsidRPr="00F472F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面向法学专业应届毕业生选拔录用人民法院法官助理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体检有关事项公告如下：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一、体检人员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根据《</w:t>
      </w:r>
      <w:r w:rsidR="00F472F3" w:rsidRPr="00F472F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2019年山东省面向法学专业应届毕业生选拔录用人民法院法官助理、人民检察院检察官助理公告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》等有关规定，确定体检考察人选（见附件1）。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二、体检确认</w:t>
      </w:r>
    </w:p>
    <w:p w:rsidR="00BD419F" w:rsidRDefault="00D62830" w:rsidP="00BD419F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体检由各招录机关负责并具体组织实施。请进入体检范围的考生及时联系招录机关（咨询电话见招考公告的招考职位表），确认体检事宜。网上报名时填报的通讯地址、联系方式等信息如有变化，请及时告知招录机关，并于体检时将变化情况书面报招录机关。</w:t>
      </w:r>
      <w:r w:rsidR="00BD419F">
        <w:rPr>
          <w:rFonts w:ascii="微软雅黑" w:eastAsia="微软雅黑" w:hAnsi="微软雅黑" w:cs="宋体" w:hint="eastAsia"/>
          <w:color w:val="3D3D3D"/>
          <w:kern w:val="0"/>
          <w:szCs w:val="21"/>
        </w:rPr>
        <w:t xml:space="preserve"> </w:t>
      </w:r>
    </w:p>
    <w:p w:rsidR="00D62830" w:rsidRPr="00475A43" w:rsidRDefault="00D62830" w:rsidP="00BD419F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lastRenderedPageBreak/>
        <w:t>放弃体检者请按要求填写《放弃公务员体检及录用资格声明》(见附件2)，并于体检前报招录机关。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三、体检标准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  <w:shd w:val="clear" w:color="auto" w:fill="FFFFFF"/>
        </w:rPr>
        <w:t>体检执行《关于修订〈公务员录用体检通用标准（试行）〉及〈公务员录用体检操作手册（试行）〉有关内容的通知》（人社部发〔2016〕140号）、</w:t>
      </w:r>
      <w:bookmarkStart w:id="0" w:name="_GoBack"/>
      <w:bookmarkEnd w:id="0"/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  <w:shd w:val="clear" w:color="auto" w:fill="FFFFFF"/>
        </w:rPr>
        <w:t>《</w:t>
      </w:r>
      <w:r w:rsidR="00F472F3" w:rsidRPr="00F472F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2019年山东省面向法学专业应届毕业生选拔录用人民法院法官助理、人民检察院检察官助理公告</w:t>
      </w: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  <w:shd w:val="clear" w:color="auto" w:fill="FFFFFF"/>
        </w:rPr>
        <w:t>》等有关规定。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四、相关要求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(</w:t>
      </w:r>
      <w:proofErr w:type="gramStart"/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一</w:t>
      </w:r>
      <w:proofErr w:type="gramEnd"/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)</w:t>
      </w: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  <w:shd w:val="clear" w:color="auto" w:fill="FFFFFF"/>
        </w:rPr>
        <w:t>参加体检人员须携带本人有效居民身份证、面试通知单</w:t>
      </w: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及招录机关要求的其他有关材料。面试资格审查</w:t>
      </w:r>
      <w:proofErr w:type="gramStart"/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时资料</w:t>
      </w:r>
      <w:proofErr w:type="gramEnd"/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提交不全的考生，请在体检当天补交所缺资料。</w:t>
      </w:r>
    </w:p>
    <w:p w:rsidR="00D62830" w:rsidRPr="00475A43" w:rsidRDefault="00D62830" w:rsidP="00D62830">
      <w:pPr>
        <w:widowControl/>
        <w:shd w:val="clear" w:color="auto" w:fill="FFFFFF"/>
        <w:spacing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(二)体检费用由报考人员承担，直接交付体检机构。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(三)考生须严格遵守体检纪律，对在体检过程中弄虚作假或隐瞒真实情况，致使体检结果失实的考生，将给予其不予录用、取消录用等处理。</w:t>
      </w:r>
    </w:p>
    <w:p w:rsidR="00D62830" w:rsidRPr="00475A43" w:rsidRDefault="00D62830" w:rsidP="00D62830">
      <w:pPr>
        <w:widowControl/>
        <w:shd w:val="clear" w:color="auto" w:fill="FFFFFF"/>
        <w:spacing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(四)除特殊情况经</w:t>
      </w:r>
      <w:r w:rsidR="00F472F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省法院、</w:t>
      </w: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市公务员主管部门同意外，不按规定的时间、地点参加体检的，视为自动放弃。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lastRenderedPageBreak/>
        <w:t>(五)请务必听从工作人员管理和监督。体检时，除工作人员外不得由其他人员陪同，考生不得携带手机等移动通讯设备。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(六)</w:t>
      </w: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  <w:shd w:val="clear" w:color="auto" w:fill="FFFFFF"/>
        </w:rPr>
        <w:t>体检有关注意事项详见《体检须知》（见附件3）。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未尽事宜,按照公务员考试录用的相关规定执行。</w:t>
      </w:r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left="199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附件：</w:t>
      </w:r>
      <w:hyperlink r:id="rId7" w:history="1">
        <w:r w:rsidRPr="00475A43">
          <w:rPr>
            <w:rFonts w:ascii="仿宋" w:eastAsia="仿宋" w:hAnsi="仿宋" w:cs="宋体" w:hint="eastAsia"/>
            <w:color w:val="3D3D3D"/>
            <w:kern w:val="0"/>
            <w:sz w:val="32"/>
            <w:szCs w:val="32"/>
            <w:u w:val="single"/>
          </w:rPr>
          <w:t>1.</w:t>
        </w:r>
        <w:r w:rsidR="0067764F" w:rsidRPr="0067764F">
          <w:rPr>
            <w:rFonts w:hint="eastAsia"/>
          </w:rPr>
          <w:t xml:space="preserve"> </w:t>
        </w:r>
        <w:r w:rsidR="0067764F" w:rsidRPr="0067764F">
          <w:rPr>
            <w:rFonts w:ascii="仿宋" w:eastAsia="仿宋" w:hAnsi="仿宋" w:cs="宋体" w:hint="eastAsia"/>
            <w:color w:val="3D3D3D"/>
            <w:kern w:val="0"/>
            <w:sz w:val="32"/>
            <w:szCs w:val="32"/>
            <w:u w:val="single"/>
          </w:rPr>
          <w:t>2019年</w:t>
        </w:r>
        <w:r w:rsidR="00C32359">
          <w:rPr>
            <w:rFonts w:ascii="仿宋" w:eastAsia="仿宋" w:hAnsi="仿宋" w:cs="宋体" w:hint="eastAsia"/>
            <w:color w:val="3D3D3D"/>
            <w:kern w:val="0"/>
            <w:sz w:val="32"/>
            <w:szCs w:val="32"/>
            <w:u w:val="single"/>
          </w:rPr>
          <w:t>济南市</w:t>
        </w:r>
        <w:r w:rsidR="0067764F" w:rsidRPr="0067764F">
          <w:rPr>
            <w:rFonts w:ascii="仿宋" w:eastAsia="仿宋" w:hAnsi="仿宋" w:cs="宋体" w:hint="eastAsia"/>
            <w:color w:val="3D3D3D"/>
            <w:kern w:val="0"/>
            <w:sz w:val="32"/>
            <w:szCs w:val="32"/>
            <w:u w:val="single"/>
          </w:rPr>
          <w:t>面向法学专业应届毕业生选拔录用法官助理</w:t>
        </w:r>
        <w:r w:rsidR="00BD419F">
          <w:rPr>
            <w:rFonts w:ascii="仿宋" w:eastAsia="仿宋" w:hAnsi="仿宋" w:cs="宋体" w:hint="eastAsia"/>
            <w:color w:val="3D3D3D"/>
            <w:kern w:val="0"/>
            <w:sz w:val="32"/>
            <w:szCs w:val="32"/>
            <w:u w:val="single"/>
          </w:rPr>
          <w:t>体检</w:t>
        </w:r>
        <w:r w:rsidR="0067764F">
          <w:rPr>
            <w:rFonts w:ascii="仿宋" w:eastAsia="仿宋" w:hAnsi="仿宋" w:cs="宋体" w:hint="eastAsia"/>
            <w:color w:val="3D3D3D"/>
            <w:kern w:val="0"/>
            <w:sz w:val="32"/>
            <w:szCs w:val="32"/>
            <w:u w:val="single"/>
          </w:rPr>
          <w:t>考察人选</w:t>
        </w:r>
        <w:r w:rsidRPr="00475A43">
          <w:rPr>
            <w:rFonts w:ascii="仿宋" w:eastAsia="仿宋" w:hAnsi="仿宋" w:cs="宋体" w:hint="eastAsia"/>
            <w:color w:val="3D3D3D"/>
            <w:kern w:val="0"/>
            <w:sz w:val="32"/>
            <w:szCs w:val="32"/>
            <w:u w:val="single"/>
          </w:rPr>
          <w:t>.</w:t>
        </w:r>
        <w:proofErr w:type="gramStart"/>
        <w:r w:rsidRPr="00475A43">
          <w:rPr>
            <w:rFonts w:ascii="仿宋" w:eastAsia="仿宋" w:hAnsi="仿宋" w:cs="宋体" w:hint="eastAsia"/>
            <w:color w:val="3D3D3D"/>
            <w:kern w:val="0"/>
            <w:sz w:val="32"/>
            <w:szCs w:val="32"/>
            <w:u w:val="single"/>
          </w:rPr>
          <w:t>xlsx</w:t>
        </w:r>
        <w:proofErr w:type="gramEnd"/>
      </w:hyperlink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160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 xml:space="preserve"> 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 xml:space="preserve"> 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 xml:space="preserve"> 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 </w:t>
      </w:r>
      <w:hyperlink r:id="rId8" w:history="1">
        <w:r w:rsidRPr="00475A43">
          <w:rPr>
            <w:rFonts w:ascii="仿宋_GB2312" w:eastAsia="仿宋_GB2312" w:hAnsi="微软雅黑" w:cs="宋体" w:hint="eastAsia"/>
            <w:color w:val="3D3D3D"/>
            <w:kern w:val="0"/>
            <w:sz w:val="32"/>
            <w:szCs w:val="32"/>
            <w:u w:val="single"/>
          </w:rPr>
          <w:t>2.放弃公务员体检及录用资格声明.</w:t>
        </w:r>
        <w:proofErr w:type="gramStart"/>
        <w:r w:rsidRPr="00475A43">
          <w:rPr>
            <w:rFonts w:ascii="仿宋_GB2312" w:eastAsia="仿宋_GB2312" w:hAnsi="微软雅黑" w:cs="宋体" w:hint="eastAsia"/>
            <w:color w:val="3D3D3D"/>
            <w:kern w:val="0"/>
            <w:sz w:val="32"/>
            <w:szCs w:val="32"/>
            <w:u w:val="single"/>
          </w:rPr>
          <w:t>doc</w:t>
        </w:r>
        <w:proofErr w:type="gramEnd"/>
      </w:hyperlink>
    </w:p>
    <w:p w:rsidR="00D62830" w:rsidRPr="00475A43" w:rsidRDefault="00D62830" w:rsidP="00D62830">
      <w:pPr>
        <w:widowControl/>
        <w:spacing w:before="100" w:beforeAutospacing="1" w:after="100" w:afterAutospacing="1" w:line="315" w:lineRule="atLeast"/>
        <w:ind w:firstLine="160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 xml:space="preserve"> 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 xml:space="preserve"> 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 xml:space="preserve"> 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 </w:t>
      </w:r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  <w:u w:val="single"/>
        </w:rPr>
        <w:t>3.体检须知.</w:t>
      </w:r>
      <w:proofErr w:type="spellStart"/>
      <w:r w:rsidRPr="00475A4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  <w:u w:val="single"/>
        </w:rPr>
        <w:t>docx</w:t>
      </w:r>
      <w:proofErr w:type="spellEnd"/>
    </w:p>
    <w:p w:rsidR="00372A58" w:rsidRDefault="00372A58" w:rsidP="00D62830">
      <w:pPr>
        <w:widowControl/>
        <w:spacing w:before="100" w:beforeAutospacing="1" w:after="100" w:afterAutospacing="1" w:line="315" w:lineRule="atLeast"/>
        <w:ind w:firstLine="645"/>
        <w:jc w:val="left"/>
        <w:rPr>
          <w:rFonts w:ascii="Calibri" w:eastAsia="仿宋" w:hAnsi="Calibri" w:cs="Calibri"/>
          <w:color w:val="3D3D3D"/>
          <w:kern w:val="0"/>
          <w:sz w:val="32"/>
          <w:szCs w:val="32"/>
        </w:rPr>
      </w:pPr>
    </w:p>
    <w:p w:rsidR="00D62830" w:rsidRPr="00475A43" w:rsidRDefault="00372A58" w:rsidP="00372A58">
      <w:pPr>
        <w:widowControl/>
        <w:spacing w:before="100" w:beforeAutospacing="1" w:after="100" w:afterAutospacing="1" w:line="315" w:lineRule="atLeast"/>
        <w:ind w:firstLineChars="1250" w:firstLine="4000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>
        <w:rPr>
          <w:rFonts w:ascii="Calibri" w:eastAsia="仿宋" w:hAnsi="Calibri" w:cs="Calibri" w:hint="eastAsia"/>
          <w:color w:val="3D3D3D"/>
          <w:kern w:val="0"/>
          <w:sz w:val="32"/>
          <w:szCs w:val="32"/>
        </w:rPr>
        <w:t>山东省</w:t>
      </w:r>
      <w:r w:rsidR="00D62830" w:rsidRPr="00475A43">
        <w:rPr>
          <w:rFonts w:ascii="Calibri" w:eastAsia="仿宋" w:hAnsi="Calibri" w:cs="Calibri"/>
          <w:color w:val="3D3D3D"/>
          <w:kern w:val="0"/>
          <w:sz w:val="32"/>
          <w:szCs w:val="32"/>
        </w:rPr>
        <w:t> </w:t>
      </w:r>
      <w:r>
        <w:rPr>
          <w:rFonts w:ascii="Calibri" w:eastAsia="仿宋" w:hAnsi="Calibri" w:cs="Calibri" w:hint="eastAsia"/>
          <w:color w:val="3D3D3D"/>
          <w:kern w:val="0"/>
          <w:sz w:val="32"/>
          <w:szCs w:val="32"/>
        </w:rPr>
        <w:t>济南市中级人民法院</w:t>
      </w:r>
    </w:p>
    <w:p w:rsidR="00986EE8" w:rsidRPr="00372A58" w:rsidRDefault="00372A58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               </w:t>
      </w:r>
      <w:r w:rsidRPr="00372A58">
        <w:rPr>
          <w:rFonts w:ascii="仿宋" w:eastAsia="仿宋" w:hAnsi="仿宋" w:hint="eastAsia"/>
          <w:sz w:val="32"/>
          <w:szCs w:val="32"/>
        </w:rPr>
        <w:t>2019年7月</w:t>
      </w:r>
      <w:r w:rsidR="00156924">
        <w:rPr>
          <w:rFonts w:ascii="仿宋" w:eastAsia="仿宋" w:hAnsi="仿宋" w:hint="eastAsia"/>
          <w:sz w:val="32"/>
          <w:szCs w:val="32"/>
        </w:rPr>
        <w:t>31</w:t>
      </w:r>
      <w:r w:rsidRPr="00372A58">
        <w:rPr>
          <w:rFonts w:ascii="仿宋" w:eastAsia="仿宋" w:hAnsi="仿宋" w:hint="eastAsia"/>
          <w:sz w:val="32"/>
          <w:szCs w:val="32"/>
        </w:rPr>
        <w:t>日</w:t>
      </w:r>
    </w:p>
    <w:sectPr w:rsidR="00986EE8" w:rsidRPr="0037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CB" w:rsidRDefault="00322CCB" w:rsidP="00A446F3">
      <w:r>
        <w:separator/>
      </w:r>
    </w:p>
  </w:endnote>
  <w:endnote w:type="continuationSeparator" w:id="0">
    <w:p w:rsidR="00322CCB" w:rsidRDefault="00322CCB" w:rsidP="00A4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CB" w:rsidRDefault="00322CCB" w:rsidP="00A446F3">
      <w:r>
        <w:separator/>
      </w:r>
    </w:p>
  </w:footnote>
  <w:footnote w:type="continuationSeparator" w:id="0">
    <w:p w:rsidR="00322CCB" w:rsidRDefault="00322CCB" w:rsidP="00A44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EA"/>
    <w:rsid w:val="000822DE"/>
    <w:rsid w:val="000C1AF6"/>
    <w:rsid w:val="000D2D28"/>
    <w:rsid w:val="000F20B2"/>
    <w:rsid w:val="00103D47"/>
    <w:rsid w:val="00156924"/>
    <w:rsid w:val="001A2E4B"/>
    <w:rsid w:val="001C6DF6"/>
    <w:rsid w:val="001E7120"/>
    <w:rsid w:val="00232B2B"/>
    <w:rsid w:val="00322CCB"/>
    <w:rsid w:val="00345DA8"/>
    <w:rsid w:val="00372A58"/>
    <w:rsid w:val="0052702E"/>
    <w:rsid w:val="005350D0"/>
    <w:rsid w:val="00547419"/>
    <w:rsid w:val="0067764F"/>
    <w:rsid w:val="006A5378"/>
    <w:rsid w:val="007709B1"/>
    <w:rsid w:val="007C1B1C"/>
    <w:rsid w:val="00834688"/>
    <w:rsid w:val="008714DD"/>
    <w:rsid w:val="00972DEA"/>
    <w:rsid w:val="00986EE8"/>
    <w:rsid w:val="00A11614"/>
    <w:rsid w:val="00A446F3"/>
    <w:rsid w:val="00AA76C0"/>
    <w:rsid w:val="00B0546E"/>
    <w:rsid w:val="00B55107"/>
    <w:rsid w:val="00B71B93"/>
    <w:rsid w:val="00BD419F"/>
    <w:rsid w:val="00C32359"/>
    <w:rsid w:val="00D62830"/>
    <w:rsid w:val="00D90A13"/>
    <w:rsid w:val="00D94EE6"/>
    <w:rsid w:val="00E112F3"/>
    <w:rsid w:val="00E83F86"/>
    <w:rsid w:val="00EF1781"/>
    <w:rsid w:val="00F03848"/>
    <w:rsid w:val="00F4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6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28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28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6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28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2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nhrss.jinan.gov.cn/module/download/downfile.jsp?classid=0&amp;filename=0ea8d1fb8ba24c84bfacc575b92f9cc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nhrss.jinan.gov.cn/module/download/downfile.jsp?classid=0&amp;filename=fda23607d97e4387b3d1b7c1d3b2eded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187</Words>
  <Characters>1070</Characters>
  <Application>Microsoft Office Word</Application>
  <DocSecurity>0</DocSecurity>
  <Lines>8</Lines>
  <Paragraphs>2</Paragraphs>
  <ScaleCrop>false</ScaleCrop>
  <Company>P R C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2019-07-29T07:13:00Z</dcterms:created>
  <dcterms:modified xsi:type="dcterms:W3CDTF">2019-07-31T00:24:00Z</dcterms:modified>
</cp:coreProperties>
</file>