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方正小标宋简体" w:hAnsi="方正小标宋简体" w:eastAsia="方正小标宋简体" w:cs="宋体"/>
          <w:color w:val="000000" w:themeColor="text1"/>
          <w:spacing w:val="10"/>
          <w:kern w:val="0"/>
          <w:sz w:val="44"/>
          <w:szCs w:val="44"/>
          <w14:textFill>
            <w14:solidFill>
              <w14:schemeClr w14:val="tx1"/>
            </w14:solidFill>
          </w14:textFill>
        </w:rPr>
      </w:pPr>
    </w:p>
    <w:p>
      <w:pPr>
        <w:widowControl/>
        <w:spacing w:line="520" w:lineRule="exact"/>
        <w:jc w:val="center"/>
        <w:rPr>
          <w:rFonts w:hint="eastAsia" w:ascii="方正小标宋简体" w:hAnsi="方正小标宋简体" w:eastAsia="方正小标宋简体" w:cs="宋体"/>
          <w:color w:val="000000" w:themeColor="text1"/>
          <w:spacing w:val="10"/>
          <w:kern w:val="0"/>
          <w:sz w:val="44"/>
          <w:szCs w:val="44"/>
          <w14:textFill>
            <w14:solidFill>
              <w14:schemeClr w14:val="tx1"/>
            </w14:solidFill>
          </w14:textFill>
        </w:rPr>
      </w:pPr>
      <w:r>
        <w:rPr>
          <w:rFonts w:ascii="方正小标宋简体" w:hAnsi="方正小标宋简体" w:eastAsia="方正小标宋简体" w:cs="宋体"/>
          <w:color w:val="000000" w:themeColor="text1"/>
          <w:spacing w:val="10"/>
          <w:kern w:val="0"/>
          <w:sz w:val="44"/>
          <w:szCs w:val="44"/>
          <w14:textFill>
            <w14:solidFill>
              <w14:schemeClr w14:val="tx1"/>
            </w14:solidFill>
          </w14:textFill>
        </w:rPr>
        <w:t>关于</w:t>
      </w:r>
      <w:r>
        <w:rPr>
          <w:rFonts w:hint="eastAsia" w:ascii="方正小标宋简体" w:hAnsi="方正小标宋简体" w:eastAsia="方正小标宋简体" w:cs="宋体"/>
          <w:color w:val="000000" w:themeColor="text1"/>
          <w:spacing w:val="10"/>
          <w:kern w:val="0"/>
          <w:sz w:val="44"/>
          <w:szCs w:val="44"/>
          <w14:textFill>
            <w14:solidFill>
              <w14:schemeClr w14:val="tx1"/>
            </w14:solidFill>
          </w14:textFill>
        </w:rPr>
        <w:t>加强银行领域</w:t>
      </w:r>
    </w:p>
    <w:p>
      <w:pPr>
        <w:widowControl/>
        <w:spacing w:line="520" w:lineRule="exact"/>
        <w:jc w:val="center"/>
        <w:rPr>
          <w:rFonts w:ascii="仿宋_GB2312" w:hAnsi="仿宋_GB2312" w:eastAsia="仿宋_GB2312" w:cs="宋体"/>
          <w:color w:val="000000" w:themeColor="text1"/>
          <w:spacing w:val="10"/>
          <w:kern w:val="0"/>
          <w:sz w:val="32"/>
          <w:szCs w:val="32"/>
          <w14:textFill>
            <w14:solidFill>
              <w14:schemeClr w14:val="tx1"/>
            </w14:solidFill>
          </w14:textFill>
        </w:rPr>
      </w:pPr>
      <w:r>
        <w:rPr>
          <w:rFonts w:hint="eastAsia" w:ascii="方正小标宋简体" w:hAnsi="方正小标宋简体" w:eastAsia="方正小标宋简体" w:cs="宋体"/>
          <w:color w:val="000000" w:themeColor="text1"/>
          <w:spacing w:val="10"/>
          <w:kern w:val="0"/>
          <w:sz w:val="44"/>
          <w:szCs w:val="44"/>
          <w14:textFill>
            <w14:solidFill>
              <w14:schemeClr w14:val="tx1"/>
            </w14:solidFill>
          </w14:textFill>
        </w:rPr>
        <w:t>电信网络诈骗治理</w:t>
      </w:r>
      <w:r>
        <w:rPr>
          <w:rFonts w:ascii="方正小标宋简体" w:hAnsi="方正小标宋简体" w:eastAsia="方正小标宋简体" w:cs="宋体"/>
          <w:color w:val="000000" w:themeColor="text1"/>
          <w:spacing w:val="10"/>
          <w:kern w:val="0"/>
          <w:sz w:val="44"/>
          <w:szCs w:val="44"/>
          <w14:textFill>
            <w14:solidFill>
              <w14:schemeClr w14:val="tx1"/>
            </w14:solidFill>
          </w14:textFill>
        </w:rPr>
        <w:t>的司法建议书</w:t>
      </w:r>
    </w:p>
    <w:p>
      <w:pPr>
        <w:widowControl/>
        <w:spacing w:line="520" w:lineRule="exact"/>
        <w:jc w:val="right"/>
        <w:rPr>
          <w:rFonts w:ascii="楷体_GB2312" w:hAnsi="楷体_GB2312" w:eastAsia="楷体_GB2312" w:cs="宋体"/>
          <w:color w:val="000000" w:themeColor="text1"/>
          <w:spacing w:val="10"/>
          <w:kern w:val="0"/>
          <w:sz w:val="32"/>
          <w:szCs w:val="32"/>
          <w14:textFill>
            <w14:solidFill>
              <w14:schemeClr w14:val="tx1"/>
            </w14:solidFill>
          </w14:textFill>
        </w:rPr>
      </w:pPr>
    </w:p>
    <w:p>
      <w:pPr>
        <w:widowControl/>
        <w:spacing w:line="520" w:lineRule="exact"/>
        <w:ind w:right="760"/>
        <w:rPr>
          <w:rFonts w:ascii="仿宋_GB2312" w:hAnsi="仿宋_GB2312" w:eastAsia="仿宋_GB2312" w:cs="宋体"/>
          <w:color w:val="000000" w:themeColor="text1"/>
          <w:spacing w:val="10"/>
          <w:kern w:val="0"/>
          <w:sz w:val="36"/>
          <w:szCs w:val="36"/>
          <w14:textFill>
            <w14:solidFill>
              <w14:schemeClr w14:val="tx1"/>
            </w14:solidFill>
          </w14:textFill>
        </w:rPr>
      </w:pPr>
    </w:p>
    <w:p>
      <w:pPr>
        <w:widowControl/>
        <w:spacing w:line="520" w:lineRule="exact"/>
        <w:ind w:right="760"/>
        <w:rPr>
          <w:rFonts w:ascii="楷体_GB2312" w:hAnsi="楷体_GB2312" w:eastAsia="楷体_GB2312" w:cs="宋体"/>
          <w:color w:val="000000" w:themeColor="text1"/>
          <w:spacing w:val="10"/>
          <w:kern w:val="0"/>
          <w:sz w:val="32"/>
          <w:szCs w:val="32"/>
          <w14:textFill>
            <w14:solidFill>
              <w14:schemeClr w14:val="tx1"/>
            </w14:solidFill>
          </w14:textFill>
        </w:rPr>
      </w:pPr>
      <w:r>
        <w:rPr>
          <w:rFonts w:hint="eastAsia" w:ascii="仿宋_GB2312" w:hAnsi="宋体" w:eastAsia="仿宋_GB2312"/>
          <w:sz w:val="32"/>
          <w:szCs w:val="32"/>
          <w:lang w:val="en-US" w:eastAsia="zh-CN"/>
        </w:rPr>
        <w:t>**</w:t>
      </w:r>
      <w:r>
        <w:rPr>
          <w:rFonts w:hint="eastAsia" w:ascii="仿宋_GB2312" w:hAnsi="宋体" w:eastAsia="仿宋_GB2312"/>
          <w:sz w:val="32"/>
          <w:szCs w:val="32"/>
        </w:rPr>
        <w:t>局：</w:t>
      </w:r>
      <w:bookmarkStart w:id="0" w:name="_GoBack"/>
      <w:bookmarkEnd w:id="0"/>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为尽可能减少行为人专门办理信用卡为网络犯罪提供帮助等类似情况的发生，有力打击</w:t>
      </w:r>
      <w:r>
        <w:rPr>
          <w:rFonts w:ascii="仿宋_GB2312" w:hAnsi="宋体" w:eastAsia="仿宋_GB2312"/>
          <w:sz w:val="32"/>
          <w:szCs w:val="32"/>
        </w:rPr>
        <w:t>电信网络诈骗及其关联犯罪</w:t>
      </w:r>
      <w:r>
        <w:rPr>
          <w:rFonts w:hint="eastAsia" w:ascii="仿宋_GB2312" w:hAnsi="宋体" w:eastAsia="仿宋_GB2312"/>
          <w:sz w:val="32"/>
          <w:szCs w:val="32"/>
        </w:rPr>
        <w:t>，提升</w:t>
      </w:r>
      <w:r>
        <w:rPr>
          <w:rFonts w:ascii="仿宋_GB2312" w:hAnsi="宋体" w:eastAsia="仿宋_GB2312"/>
          <w:sz w:val="32"/>
          <w:szCs w:val="32"/>
        </w:rPr>
        <w:t>人民群众的安全感</w:t>
      </w:r>
      <w:r>
        <w:rPr>
          <w:rFonts w:hint="eastAsia" w:ascii="仿宋_GB2312" w:hAnsi="宋体" w:eastAsia="仿宋_GB2312"/>
          <w:sz w:val="32"/>
          <w:szCs w:val="32"/>
        </w:rPr>
        <w:t>，特建议：</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加强宣传教育，落实提示义务。目前社会公众对于出售信用卡行为的违法性认识有待提升，建议组织开展专门的宣传教育活动，督促银行加强对于办卡人的风险提示，并对银行相关工作进行定期评估监督，对未严格履行相关义务的督促其整改到位，有效提高公众的风险意识和鉴别能力。</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破除信息壁垒，提升管理能力。建议根据实际情况建立信息交流和风险预警机制，针对办卡人在不同银行短时间办理大量信用卡的行为，及时发现并进行预警，由银行工作人员核实办卡用途并进行提示教育，必要时结合办卡人的信用风险对信用卡申请进行一定限制。</w:t>
      </w:r>
    </w:p>
    <w:p>
      <w:pPr>
        <w:widowControl/>
        <w:spacing w:line="520" w:lineRule="exact"/>
        <w:ind w:firstLine="640" w:firstLineChars="200"/>
        <w:rPr>
          <w:rFonts w:ascii="仿宋_GB2312" w:hAnsi="仿宋_GB2312" w:eastAsia="仿宋_GB2312" w:cs="宋体"/>
          <w:color w:val="000000" w:themeColor="text1"/>
          <w:spacing w:val="9"/>
          <w:kern w:val="0"/>
          <w:sz w:val="32"/>
          <w:szCs w:val="32"/>
          <w14:textFill>
            <w14:solidFill>
              <w14:schemeClr w14:val="tx1"/>
            </w14:solidFill>
          </w14:textFill>
        </w:rPr>
      </w:pPr>
      <w:r>
        <w:rPr>
          <w:rFonts w:hint="eastAsia" w:ascii="仿宋_GB2312" w:hAnsi="宋体" w:eastAsia="仿宋_GB2312"/>
          <w:sz w:val="32"/>
          <w:szCs w:val="32"/>
        </w:rPr>
        <w:t>3.加大监管力度，引导良性竞争。有的银行盲目扩张信用卡业务规模，甚至诱导并无需求的学生等群体办理信用卡，增加了信用卡闲置后非法流通的风险，建议根据各银行的资本充足率、风险承担水平等因素，制定合理的办卡数量上限，促进银行业健康、稳定和可持续发展。</w:t>
      </w:r>
    </w:p>
    <w:p>
      <w:pPr>
        <w:widowControl/>
        <w:spacing w:line="520" w:lineRule="exact"/>
        <w:ind w:firstLine="676" w:firstLineChars="200"/>
        <w:rPr>
          <w:rFonts w:ascii="仿宋_GB2312" w:hAnsi="仿宋_GB2312" w:eastAsia="仿宋_GB2312" w:cs="宋体"/>
          <w:color w:val="000000" w:themeColor="text1"/>
          <w:spacing w:val="9"/>
          <w:kern w:val="0"/>
          <w:sz w:val="32"/>
          <w:szCs w:val="32"/>
          <w14:textFill>
            <w14:solidFill>
              <w14:schemeClr w14:val="tx1"/>
            </w14:solidFill>
          </w14:textFill>
        </w:rPr>
      </w:pPr>
      <w:r>
        <w:rPr>
          <w:rFonts w:ascii="仿宋_GB2312" w:hAnsi="仿宋_GB2312" w:eastAsia="仿宋_GB2312" w:cs="宋体"/>
          <w:color w:val="000000" w:themeColor="text1"/>
          <w:spacing w:val="9"/>
          <w:kern w:val="0"/>
          <w:sz w:val="32"/>
          <w:szCs w:val="32"/>
          <w14:textFill>
            <w14:solidFill>
              <w14:schemeClr w14:val="tx1"/>
            </w14:solidFill>
          </w14:textFill>
        </w:rPr>
        <w:t>请你单位在收到本建议书后及时研究，</w:t>
      </w:r>
      <w:r>
        <w:rPr>
          <w:rFonts w:hint="eastAsia" w:ascii="仿宋_GB2312" w:hAnsi="仿宋_GB2312" w:eastAsia="仿宋_GB2312" w:cs="宋体"/>
          <w:color w:val="000000" w:themeColor="text1"/>
          <w:spacing w:val="9"/>
          <w:kern w:val="0"/>
          <w:sz w:val="32"/>
          <w:szCs w:val="32"/>
          <w14:textFill>
            <w14:solidFill>
              <w14:schemeClr w14:val="tx1"/>
            </w14:solidFill>
          </w14:textFill>
        </w:rPr>
        <w:t>如有意见，请</w:t>
      </w:r>
      <w:r>
        <w:rPr>
          <w:rFonts w:ascii="仿宋_GB2312" w:hAnsi="仿宋_GB2312" w:eastAsia="仿宋_GB2312" w:cs="宋体"/>
          <w:color w:val="000000" w:themeColor="text1"/>
          <w:spacing w:val="9"/>
          <w:kern w:val="0"/>
          <w:sz w:val="32"/>
          <w:szCs w:val="32"/>
          <w14:textFill>
            <w14:solidFill>
              <w14:schemeClr w14:val="tx1"/>
            </w14:solidFill>
          </w14:textFill>
        </w:rPr>
        <w:t>在</w:t>
      </w:r>
      <w:r>
        <w:rPr>
          <w:rFonts w:hint="eastAsia" w:ascii="仿宋_GB2312" w:hAnsi="仿宋_GB2312" w:eastAsia="仿宋_GB2312" w:cs="宋体"/>
          <w:color w:val="000000" w:themeColor="text1"/>
          <w:spacing w:val="9"/>
          <w:kern w:val="0"/>
          <w:sz w:val="32"/>
          <w:szCs w:val="32"/>
          <w14:textFill>
            <w14:solidFill>
              <w14:schemeClr w14:val="tx1"/>
            </w14:solidFill>
          </w14:textFill>
        </w:rPr>
        <w:t>1</w:t>
      </w:r>
      <w:r>
        <w:rPr>
          <w:rFonts w:ascii="仿宋_GB2312" w:hAnsi="仿宋_GB2312" w:eastAsia="仿宋_GB2312" w:cs="宋体"/>
          <w:color w:val="000000" w:themeColor="text1"/>
          <w:spacing w:val="9"/>
          <w:kern w:val="0"/>
          <w:sz w:val="32"/>
          <w:szCs w:val="32"/>
          <w14:textFill>
            <w14:solidFill>
              <w14:schemeClr w14:val="tx1"/>
            </w14:solidFill>
          </w14:textFill>
        </w:rPr>
        <w:t>个月内向我院书面反馈。我院将积极支持、配合你单位做好相关工作，共同推进</w:t>
      </w:r>
      <w:r>
        <w:rPr>
          <w:rFonts w:hint="eastAsia" w:ascii="仿宋_GB2312" w:hAnsi="仿宋_GB2312" w:eastAsia="仿宋_GB2312" w:cs="宋体"/>
          <w:color w:val="000000" w:themeColor="text1"/>
          <w:spacing w:val="9"/>
          <w:kern w:val="0"/>
          <w:sz w:val="32"/>
          <w:szCs w:val="32"/>
          <w14:textFill>
            <w14:solidFill>
              <w14:schemeClr w14:val="tx1"/>
            </w14:solidFill>
          </w14:textFill>
        </w:rPr>
        <w:t>银行</w:t>
      </w:r>
      <w:r>
        <w:rPr>
          <w:rFonts w:ascii="仿宋_GB2312" w:hAnsi="仿宋_GB2312" w:eastAsia="仿宋_GB2312" w:cs="宋体"/>
          <w:color w:val="000000" w:themeColor="text1"/>
          <w:spacing w:val="9"/>
          <w:kern w:val="0"/>
          <w:sz w:val="32"/>
          <w:szCs w:val="32"/>
          <w14:textFill>
            <w14:solidFill>
              <w14:schemeClr w14:val="tx1"/>
            </w14:solidFill>
          </w14:textFill>
        </w:rPr>
        <w:t>领域的</w:t>
      </w:r>
      <w:r>
        <w:rPr>
          <w:rFonts w:hint="eastAsia" w:ascii="仿宋_GB2312" w:hAnsi="仿宋_GB2312" w:eastAsia="仿宋_GB2312" w:cs="宋体"/>
          <w:color w:val="000000" w:themeColor="text1"/>
          <w:spacing w:val="9"/>
          <w:kern w:val="0"/>
          <w:sz w:val="32"/>
          <w:szCs w:val="32"/>
          <w14:textFill>
            <w14:solidFill>
              <w14:schemeClr w14:val="tx1"/>
            </w14:solidFill>
          </w14:textFill>
        </w:rPr>
        <w:t>电信网络诈骗</w:t>
      </w:r>
      <w:r>
        <w:rPr>
          <w:rFonts w:ascii="仿宋_GB2312" w:hAnsi="仿宋_GB2312" w:eastAsia="仿宋_GB2312" w:cs="宋体"/>
          <w:color w:val="000000" w:themeColor="text1"/>
          <w:spacing w:val="9"/>
          <w:kern w:val="0"/>
          <w:sz w:val="32"/>
          <w:szCs w:val="32"/>
          <w14:textFill>
            <w14:solidFill>
              <w14:schemeClr w14:val="tx1"/>
            </w14:solidFill>
          </w14:textFill>
        </w:rPr>
        <w:t>治理工作。</w:t>
      </w:r>
    </w:p>
    <w:p>
      <w:pPr>
        <w:widowControl/>
        <w:spacing w:line="520" w:lineRule="exact"/>
        <w:rPr>
          <w:rFonts w:ascii="仿宋_GB2312" w:hAnsi="仿宋_GB2312" w:eastAsia="仿宋_GB2312" w:cs="宋体"/>
          <w:color w:val="000000" w:themeColor="text1"/>
          <w:spacing w:val="9"/>
          <w:kern w:val="0"/>
          <w:sz w:val="32"/>
          <w:szCs w:val="32"/>
          <w14:textFill>
            <w14:solidFill>
              <w14:schemeClr w14:val="tx1"/>
            </w14:solidFill>
          </w14:textFill>
        </w:rPr>
      </w:pPr>
    </w:p>
    <w:p>
      <w:pPr>
        <w:widowControl/>
        <w:spacing w:line="520" w:lineRule="exact"/>
        <w:rPr>
          <w:rFonts w:ascii="仿宋_GB2312" w:hAnsi="仿宋_GB2312" w:eastAsia="仿宋_GB2312" w:cs="宋体"/>
          <w:color w:val="000000" w:themeColor="text1"/>
          <w:spacing w:val="9"/>
          <w:kern w:val="0"/>
          <w:sz w:val="32"/>
          <w:szCs w:val="32"/>
          <w14:textFill>
            <w14:solidFill>
              <w14:schemeClr w14:val="tx1"/>
            </w14:solidFill>
          </w14:textFill>
        </w:rPr>
      </w:pPr>
    </w:p>
    <w:p>
      <w:pPr>
        <w:widowControl/>
        <w:spacing w:line="520" w:lineRule="exact"/>
        <w:ind w:right="169" w:firstLine="676" w:firstLineChars="200"/>
        <w:jc w:val="right"/>
        <w:rPr>
          <w:rFonts w:ascii="仿宋_GB2312" w:hAnsi="仿宋_GB2312" w:eastAsia="仿宋_GB2312" w:cs="宋体"/>
          <w:color w:val="000000" w:themeColor="text1"/>
          <w:spacing w:val="9"/>
          <w:kern w:val="0"/>
          <w:sz w:val="32"/>
          <w:szCs w:val="32"/>
          <w14:textFill>
            <w14:solidFill>
              <w14:schemeClr w14:val="tx1"/>
            </w14:solidFill>
          </w14:textFill>
        </w:rPr>
      </w:pPr>
    </w:p>
    <w:p>
      <w:pPr>
        <w:widowControl/>
        <w:spacing w:line="520" w:lineRule="exact"/>
        <w:ind w:right="169" w:firstLine="676" w:firstLineChars="200"/>
        <w:jc w:val="right"/>
        <w:rPr>
          <w:rFonts w:ascii="仿宋_GB2312" w:hAnsi="仿宋_GB2312" w:eastAsia="仿宋_GB2312" w:cs="宋体"/>
          <w:color w:val="000000" w:themeColor="text1"/>
          <w:spacing w:val="9"/>
          <w:kern w:val="0"/>
          <w:sz w:val="32"/>
          <w:szCs w:val="32"/>
          <w14:textFill>
            <w14:solidFill>
              <w14:schemeClr w14:val="tx1"/>
            </w14:solidFill>
          </w14:textFill>
        </w:rPr>
      </w:pPr>
    </w:p>
    <w:p>
      <w:pPr>
        <w:widowControl/>
        <w:spacing w:line="520" w:lineRule="exact"/>
        <w:ind w:firstLine="676" w:firstLineChars="200"/>
        <w:rPr>
          <w:rFonts w:ascii="仿宋_GB2312" w:hAnsi="仿宋_GB2312" w:eastAsia="仿宋_GB2312" w:cs="宋体"/>
          <w:color w:val="000000" w:themeColor="text1"/>
          <w:spacing w:val="9"/>
          <w:kern w:val="0"/>
          <w:sz w:val="32"/>
          <w:szCs w:val="32"/>
          <w14:textFill>
            <w14:solidFill>
              <w14:schemeClr w14:val="tx1"/>
            </w14:solidFill>
          </w14:textFill>
        </w:rPr>
      </w:pPr>
    </w:p>
    <w:sectPr>
      <w:pgSz w:w="11906" w:h="16838"/>
      <w:pgMar w:top="2098" w:right="1531" w:bottom="2098"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562BE"/>
    <w:rsid w:val="000031E5"/>
    <w:rsid w:val="000238A7"/>
    <w:rsid w:val="00040250"/>
    <w:rsid w:val="0009572E"/>
    <w:rsid w:val="000F325A"/>
    <w:rsid w:val="000F5E30"/>
    <w:rsid w:val="00156102"/>
    <w:rsid w:val="00225F28"/>
    <w:rsid w:val="0025368A"/>
    <w:rsid w:val="00294C93"/>
    <w:rsid w:val="002E1EBD"/>
    <w:rsid w:val="003C43FB"/>
    <w:rsid w:val="00422D9E"/>
    <w:rsid w:val="005745C2"/>
    <w:rsid w:val="00612A96"/>
    <w:rsid w:val="00792BC6"/>
    <w:rsid w:val="007B2486"/>
    <w:rsid w:val="008D346B"/>
    <w:rsid w:val="008F7A4A"/>
    <w:rsid w:val="009649C4"/>
    <w:rsid w:val="009B2FBA"/>
    <w:rsid w:val="00A57884"/>
    <w:rsid w:val="00A71ED2"/>
    <w:rsid w:val="00A74111"/>
    <w:rsid w:val="00A77076"/>
    <w:rsid w:val="00A803EC"/>
    <w:rsid w:val="00B11B07"/>
    <w:rsid w:val="00B40766"/>
    <w:rsid w:val="00B61CE2"/>
    <w:rsid w:val="00C46A9F"/>
    <w:rsid w:val="00C6397B"/>
    <w:rsid w:val="00D07060"/>
    <w:rsid w:val="00DD5D54"/>
    <w:rsid w:val="00E51B52"/>
    <w:rsid w:val="00EE52AF"/>
    <w:rsid w:val="00F10E90"/>
    <w:rsid w:val="00FB72AD"/>
    <w:rsid w:val="00FD228C"/>
    <w:rsid w:val="60B562BE"/>
    <w:rsid w:val="6FFF2004"/>
    <w:rsid w:val="73F581EE"/>
    <w:rsid w:val="7CFFF106"/>
    <w:rsid w:val="7EF7CD16"/>
    <w:rsid w:val="7F7F0503"/>
    <w:rsid w:val="FA5F9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日期 Char"/>
    <w:basedOn w:val="6"/>
    <w:link w:val="2"/>
    <w:qFormat/>
    <w:uiPriority w:val="0"/>
    <w:rPr>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146</Words>
  <Characters>836</Characters>
  <Lines>6</Lines>
  <Paragraphs>1</Paragraphs>
  <TotalTime>0</TotalTime>
  <ScaleCrop>false</ScaleCrop>
  <LinksUpToDate>false</LinksUpToDate>
  <CharactersWithSpaces>981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2024-03-04T16:52:00Z</dcterms:created>
  <dc:creator>研究室邵</dc:creator>
  <cp:lastModifiedBy>jnak</cp:lastModifiedBy>
  <cp:lastPrinted>2025-04-07T23:55:00Z</cp:lastPrinted>
  <dcterms:modified xsi:type="dcterms:W3CDTF">2025-04-07T16:27:33Z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