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92" w:beforeLines="100" w:after="592" w:afterLines="100" w:line="520" w:lineRule="exact"/>
        <w:jc w:val="center"/>
        <w:rPr>
          <w:rFonts w:hint="default" w:ascii="宋体" w:hAnsi="宋体" w:eastAsia="宋体" w:cs="方正小标宋简体"/>
          <w:bCs/>
          <w:sz w:val="44"/>
          <w:szCs w:val="44"/>
        </w:rPr>
      </w:pPr>
      <w:r>
        <w:rPr>
          <w:rFonts w:ascii="宋体" w:hAnsi="宋体" w:eastAsia="宋体" w:cs="方正小标宋简体"/>
          <w:bCs/>
          <w:sz w:val="44"/>
          <w:szCs w:val="44"/>
        </w:rPr>
        <w:t>山东省金乡县人民法院</w:t>
      </w:r>
    </w:p>
    <w:p>
      <w:pPr>
        <w:spacing w:before="592" w:beforeLines="100" w:after="592" w:afterLines="100" w:line="520" w:lineRule="exact"/>
        <w:jc w:val="center"/>
        <w:rPr>
          <w:rFonts w:hint="default" w:ascii="方正大标宋简体" w:hAnsi="方正大标宋简体" w:eastAsia="方正大标宋简体" w:cs="方正小标宋简体"/>
          <w:sz w:val="52"/>
          <w:szCs w:val="52"/>
        </w:rPr>
      </w:pPr>
      <w:bookmarkStart w:id="0" w:name="WritName"/>
      <w:bookmarkEnd w:id="0"/>
      <w:r>
        <w:rPr>
          <w:rFonts w:ascii="方正大标宋简体" w:hAnsi="方正大标宋简体" w:eastAsia="方正大标宋简体" w:cs="方正小标宋简体"/>
          <w:spacing w:val="319"/>
          <w:sz w:val="52"/>
          <w:szCs w:val="52"/>
        </w:rPr>
        <w:t>民事判决</w:t>
      </w:r>
      <w:r>
        <w:rPr>
          <w:rFonts w:ascii="方正大标宋简体" w:hAnsi="方正大标宋简体" w:eastAsia="方正大标宋简体" w:cs="方正小标宋简体"/>
          <w:sz w:val="52"/>
          <w:szCs w:val="52"/>
        </w:rPr>
        <w:t>书</w:t>
      </w:r>
    </w:p>
    <w:p>
      <w:pPr>
        <w:spacing w:before="592" w:beforeLines="100" w:after="592" w:afterLines="100" w:line="520" w:lineRule="exact"/>
        <w:jc w:val="right"/>
        <w:rPr>
          <w:rFonts w:hint="default" w:cs="仿宋"/>
        </w:rPr>
      </w:pPr>
      <w:bookmarkStart w:id="1" w:name="CaseCode"/>
      <w:bookmarkEnd w:id="1"/>
      <w:r>
        <w:rPr>
          <w:rFonts w:cs="仿宋"/>
        </w:rPr>
        <w:t>(2022)鲁0828民初2435号</w:t>
      </w:r>
    </w:p>
    <w:p>
      <w:pPr>
        <w:spacing w:line="520" w:lineRule="exact"/>
        <w:ind w:firstLine="632" w:firstLineChars="200"/>
        <w:rPr>
          <w:rFonts w:hint="default" w:cs="仿宋"/>
        </w:rPr>
      </w:pPr>
      <w:bookmarkStart w:id="2" w:name="TrialOrigin"/>
      <w:bookmarkEnd w:id="2"/>
      <w:bookmarkStart w:id="3" w:name="IdentityInfo"/>
      <w:bookmarkEnd w:id="3"/>
      <w:bookmarkStart w:id="4" w:name="MainBody"/>
      <w:bookmarkEnd w:id="4"/>
      <w:r>
        <w:rPr>
          <w:rFonts w:cs="仿宋"/>
        </w:rPr>
        <w:t>原告：徐某某，女，</w:t>
      </w:r>
      <w:r>
        <w:rPr>
          <w:rFonts w:hint="default" w:cs="仿宋"/>
        </w:rPr>
        <w:t>汉族，住山东省金乡县。</w:t>
      </w:r>
    </w:p>
    <w:p>
      <w:pPr>
        <w:spacing w:line="520" w:lineRule="exact"/>
        <w:ind w:firstLine="632" w:firstLineChars="200"/>
        <w:rPr>
          <w:rFonts w:hint="default" w:cs="仿宋"/>
        </w:rPr>
      </w:pPr>
      <w:r>
        <w:rPr>
          <w:rFonts w:cs="仿宋"/>
        </w:rPr>
        <w:t>委托诉讼代理人：李某，山东金华表律师事务所律师。</w:t>
      </w:r>
    </w:p>
    <w:p>
      <w:pPr>
        <w:spacing w:line="520" w:lineRule="exact"/>
        <w:ind w:firstLine="632" w:firstLineChars="200"/>
        <w:rPr>
          <w:rFonts w:hint="default" w:cs="仿宋"/>
        </w:rPr>
      </w:pPr>
      <w:r>
        <w:rPr>
          <w:rFonts w:cs="仿宋"/>
        </w:rPr>
        <w:t>被告：太</w:t>
      </w:r>
      <w:r>
        <w:rPr>
          <w:rFonts w:hint="eastAsia" w:cs="仿宋"/>
          <w:lang w:val="en-US" w:eastAsia="zh-CN"/>
        </w:rPr>
        <w:t>某</w:t>
      </w:r>
      <w:r>
        <w:rPr>
          <w:rFonts w:cs="仿宋"/>
        </w:rPr>
        <w:t>洋财产保险股份有限公司，住所地山东省枣庄市</w:t>
      </w:r>
      <w:r>
        <w:rPr>
          <w:rFonts w:hint="default" w:cs="仿宋"/>
        </w:rPr>
        <w:t>。</w:t>
      </w:r>
    </w:p>
    <w:p>
      <w:pPr>
        <w:spacing w:line="520" w:lineRule="exact"/>
        <w:ind w:firstLine="632" w:firstLineChars="200"/>
        <w:rPr>
          <w:rFonts w:hint="default" w:cs="仿宋"/>
        </w:rPr>
      </w:pPr>
      <w:r>
        <w:rPr>
          <w:rFonts w:cs="仿宋"/>
        </w:rPr>
        <w:t>负责人：徐勇，经理。</w:t>
      </w:r>
    </w:p>
    <w:p>
      <w:pPr>
        <w:spacing w:line="520" w:lineRule="exact"/>
        <w:ind w:firstLine="632" w:firstLineChars="200"/>
        <w:rPr>
          <w:rFonts w:hint="default" w:cs="仿宋"/>
        </w:rPr>
      </w:pPr>
      <w:r>
        <w:rPr>
          <w:rFonts w:cs="仿宋"/>
        </w:rPr>
        <w:t>委托诉讼代理人：岳某某，山东公明政和律师事务所律师</w:t>
      </w:r>
      <w:r>
        <w:rPr>
          <w:rFonts w:hint="default" w:cs="仿宋"/>
        </w:rPr>
        <w:t>。</w:t>
      </w:r>
    </w:p>
    <w:p>
      <w:pPr>
        <w:spacing w:line="520" w:lineRule="exact"/>
        <w:ind w:firstLine="632" w:firstLineChars="200"/>
        <w:rPr>
          <w:rFonts w:hint="default" w:cs="仿宋"/>
        </w:rPr>
      </w:pPr>
      <w:r>
        <w:rPr>
          <w:rFonts w:cs="仿宋"/>
        </w:rPr>
        <w:t>原告徐某某与被告太</w:t>
      </w:r>
      <w:r>
        <w:rPr>
          <w:rFonts w:hint="eastAsia" w:cs="仿宋"/>
          <w:lang w:val="en-US" w:eastAsia="zh-CN"/>
        </w:rPr>
        <w:t>某</w:t>
      </w:r>
      <w:r>
        <w:rPr>
          <w:rFonts w:cs="仿宋"/>
        </w:rPr>
        <w:t>洋财产保险股份有限公司机动车交通事故责任纠纷一案，本院于2022年8月11日立案后，依法适用简易程序，公开开庭进行了审理。原告徐某某的委托诉讼代理人李某，被告太</w:t>
      </w:r>
      <w:r>
        <w:rPr>
          <w:rFonts w:hint="eastAsia" w:cs="仿宋"/>
          <w:lang w:val="en-US" w:eastAsia="zh-CN"/>
        </w:rPr>
        <w:t>某</w:t>
      </w:r>
      <w:r>
        <w:rPr>
          <w:rFonts w:cs="仿宋"/>
        </w:rPr>
        <w:t>洋财产保险股份有限公司（以下简称太</w:t>
      </w:r>
      <w:r>
        <w:rPr>
          <w:rFonts w:hint="eastAsia" w:cs="仿宋"/>
        </w:rPr>
        <w:t>某</w:t>
      </w:r>
      <w:r>
        <w:rPr>
          <w:rFonts w:cs="仿宋"/>
        </w:rPr>
        <w:t>洋财险）的委托诉讼代理人岳某某到庭参加诉讼，现已审理终结。</w:t>
      </w:r>
    </w:p>
    <w:p>
      <w:pPr>
        <w:spacing w:line="520" w:lineRule="exact"/>
        <w:ind w:firstLine="632" w:firstLineChars="200"/>
        <w:rPr>
          <w:rFonts w:hint="default" w:cs="仿宋"/>
        </w:rPr>
      </w:pPr>
      <w:bookmarkStart w:id="5" w:name="SuitPart"/>
      <w:bookmarkEnd w:id="5"/>
      <w:r>
        <w:rPr>
          <w:rFonts w:cs="仿宋"/>
        </w:rPr>
        <w:t>徐某某向本院提出诉讼请求：</w:t>
      </w:r>
      <w:r>
        <w:rPr>
          <w:rFonts w:hint="default" w:cs="仿宋"/>
        </w:rPr>
        <w:t>1</w:t>
      </w:r>
      <w:r>
        <w:rPr>
          <w:rFonts w:cs="仿宋"/>
        </w:rPr>
        <w:t>.</w:t>
      </w:r>
      <w:r>
        <w:rPr>
          <w:rFonts w:hint="default" w:cs="仿宋"/>
        </w:rPr>
        <w:t>判令被告赔偿原告</w:t>
      </w:r>
      <w:r>
        <w:rPr>
          <w:rFonts w:cs="仿宋"/>
        </w:rPr>
        <w:t>因事故造成的损失共计820 000</w:t>
      </w:r>
      <w:r>
        <w:rPr>
          <w:rFonts w:hint="default" w:cs="仿宋"/>
        </w:rPr>
        <w:t>元；2</w:t>
      </w:r>
      <w:r>
        <w:rPr>
          <w:rFonts w:cs="仿宋"/>
        </w:rPr>
        <w:t>.</w:t>
      </w:r>
      <w:r>
        <w:rPr>
          <w:rFonts w:hint="default" w:cs="仿宋"/>
        </w:rPr>
        <w:t>判令被告太某洋财产保险股份有限公司在</w:t>
      </w:r>
      <w:r>
        <w:rPr>
          <w:rFonts w:cs="仿宋"/>
        </w:rPr>
        <w:t>保险责任限额内承担</w:t>
      </w:r>
      <w:r>
        <w:rPr>
          <w:rFonts w:hint="default" w:cs="仿宋"/>
        </w:rPr>
        <w:t>赔偿责任；3</w:t>
      </w:r>
      <w:r>
        <w:rPr>
          <w:rFonts w:cs="仿宋"/>
        </w:rPr>
        <w:t>.</w:t>
      </w:r>
      <w:r>
        <w:rPr>
          <w:rFonts w:hint="default" w:cs="仿宋"/>
        </w:rPr>
        <w:t>本案诉讼费由被告承担。</w:t>
      </w:r>
      <w:r>
        <w:rPr>
          <w:rFonts w:cs="仿宋"/>
        </w:rPr>
        <w:t>诉讼过程中，原告徐某某将诉讼请求金额变更为272 000元，诉讼费自行承担。事实和理由：</w:t>
      </w:r>
      <w:r>
        <w:rPr>
          <w:rFonts w:hint="default" w:cs="仿宋"/>
        </w:rPr>
        <w:t>20</w:t>
      </w:r>
      <w:r>
        <w:rPr>
          <w:rFonts w:cs="仿宋"/>
        </w:rPr>
        <w:t>22</w:t>
      </w:r>
      <w:r>
        <w:rPr>
          <w:rFonts w:hint="default" w:cs="仿宋"/>
        </w:rPr>
        <w:t>年</w:t>
      </w:r>
      <w:r>
        <w:rPr>
          <w:rFonts w:cs="仿宋"/>
        </w:rPr>
        <w:t>5</w:t>
      </w:r>
      <w:r>
        <w:rPr>
          <w:rFonts w:hint="default" w:cs="仿宋"/>
        </w:rPr>
        <w:t>月</w:t>
      </w:r>
      <w:r>
        <w:rPr>
          <w:rFonts w:cs="仿宋"/>
        </w:rPr>
        <w:t>15</w:t>
      </w:r>
      <w:r>
        <w:rPr>
          <w:rFonts w:hint="default" w:cs="仿宋"/>
        </w:rPr>
        <w:t>日</w:t>
      </w:r>
      <w:r>
        <w:rPr>
          <w:rFonts w:cs="仿宋"/>
        </w:rPr>
        <w:t>11</w:t>
      </w:r>
      <w:r>
        <w:rPr>
          <w:rFonts w:hint="default" w:cs="仿宋"/>
        </w:rPr>
        <w:t>时</w:t>
      </w:r>
      <w:r>
        <w:rPr>
          <w:rFonts w:cs="仿宋"/>
        </w:rPr>
        <w:t>15</w:t>
      </w:r>
      <w:r>
        <w:rPr>
          <w:rFonts w:hint="default" w:cs="仿宋"/>
        </w:rPr>
        <w:t>分许，</w:t>
      </w:r>
      <w:r>
        <w:rPr>
          <w:rFonts w:cs="仿宋"/>
        </w:rPr>
        <w:t>徐某1驾驶电动三轮车沿金乡县胡集镇化工园区内南北路由北向南行驶至与中心大道交叉路口左转弯时，因李</w:t>
      </w:r>
      <w:r>
        <w:rPr>
          <w:rFonts w:hint="eastAsia" w:cs="仿宋"/>
        </w:rPr>
        <w:t>某</w:t>
      </w:r>
      <w:r>
        <w:rPr>
          <w:rFonts w:cs="仿宋"/>
        </w:rPr>
        <w:t>拓将号小型轿车、</w:t>
      </w:r>
      <w:r>
        <w:rPr>
          <w:rFonts w:hint="default" w:cs="仿宋"/>
        </w:rPr>
        <w:t>武某</w:t>
      </w:r>
      <w:r>
        <w:rPr>
          <w:rFonts w:cs="仿宋"/>
        </w:rPr>
        <w:t>将小型轿车停放在案发路口东侧（影响双方视线），与由东向西王某强驾驶的小型普通客车相撞，致徐某1当场死亡、车辆受损。综上，为维护原告合法权益，现诉至法院，请求依法判决。</w:t>
      </w:r>
    </w:p>
    <w:p>
      <w:pPr>
        <w:spacing w:line="520" w:lineRule="exact"/>
        <w:ind w:firstLine="632" w:firstLineChars="200"/>
        <w:rPr>
          <w:rFonts w:hint="default" w:cs="仿宋"/>
        </w:rPr>
      </w:pPr>
      <w:bookmarkStart w:id="6" w:name="ArguedPart"/>
      <w:bookmarkEnd w:id="6"/>
      <w:r>
        <w:rPr>
          <w:rFonts w:cs="仿宋"/>
        </w:rPr>
        <w:t>太</w:t>
      </w:r>
      <w:r>
        <w:rPr>
          <w:rFonts w:hint="eastAsia" w:cs="仿宋"/>
        </w:rPr>
        <w:t>某</w:t>
      </w:r>
      <w:r>
        <w:rPr>
          <w:rFonts w:cs="仿宋"/>
        </w:rPr>
        <w:t>洋财险辩称</w:t>
      </w:r>
      <w:bookmarkStart w:id="7" w:name="TrialFind"/>
      <w:bookmarkEnd w:id="7"/>
      <w:bookmarkStart w:id="8" w:name="replace_shortname_company"/>
      <w:r>
        <w:rPr>
          <w:rFonts w:cs="仿宋"/>
        </w:rPr>
        <w:t>，武某驾驶的车辆在答辩人处投保交强险和商业三者险200万元，事故发生在保险期间，因本案事故没有向答辩人报案，无法核实是否属于保险责任范围，无法确定涉案车辆是否答辩人承保车辆，答辩人不承担赔偿责任。且王</w:t>
      </w:r>
      <w:r>
        <w:rPr>
          <w:rFonts w:hint="eastAsia" w:cs="仿宋"/>
        </w:rPr>
        <w:t>某</w:t>
      </w:r>
      <w:r>
        <w:rPr>
          <w:rFonts w:cs="仿宋"/>
        </w:rPr>
        <w:t>强驾驶的车辆与原告存在直接接触，其仅承担20%的比例责任，另外两辆无接触的车辆只是停在路边，责任比例不超过5%，这才符合司法实践中主次责任划分为三七开的惯例。另外村委会不是出具亲属关系的法定部门，出具的证明不具有合法性，原告主体资格应当驳回。鉴定意见书复印件应当提供原件。因武某未报案，商业险免赔，答辩人不承担赔偿责任。</w:t>
      </w:r>
    </w:p>
    <w:p>
      <w:pPr>
        <w:spacing w:line="520" w:lineRule="exact"/>
        <w:ind w:firstLine="632" w:firstLineChars="200"/>
        <w:rPr>
          <w:rFonts w:hint="default" w:cs="仿宋"/>
        </w:rPr>
      </w:pPr>
      <w:r>
        <w:rPr>
          <w:rFonts w:cs="仿宋"/>
        </w:rPr>
        <w:t>本院经审理认定事实如下：</w:t>
      </w:r>
    </w:p>
    <w:p>
      <w:pPr>
        <w:spacing w:line="520" w:lineRule="exact"/>
        <w:ind w:firstLine="632"/>
        <w:rPr>
          <w:rFonts w:hint="default" w:cs="仿宋"/>
        </w:rPr>
      </w:pPr>
      <w:r>
        <w:rPr>
          <w:rFonts w:cs="仿宋"/>
        </w:rPr>
        <w:t>一、事故发生概况及交警部门认定：</w:t>
      </w:r>
      <w:r>
        <w:rPr>
          <w:rFonts w:hint="default" w:cs="仿宋"/>
        </w:rPr>
        <w:t>2022年5月15日11时15分许，徐某1驾驶电动三轮车沿金乡县胡集镇化工园区内南北路由北向南行驶至与中心大道交叉路口左转弯时，因李某拓将小型轿车、武某将小型轿车停放在案发路口东侧（影响双方视线），与由东向西王某强驾驶的小型普通客车相撞，致徐某1当场死亡、车辆受损。经金乡县公安局交通警察大队认定，</w:t>
      </w:r>
      <w:r>
        <w:rPr>
          <w:rFonts w:cs="仿宋"/>
        </w:rPr>
        <w:t>徐某1承担事故主要责任，王</w:t>
      </w:r>
      <w:r>
        <w:rPr>
          <w:rFonts w:hint="eastAsia" w:cs="仿宋"/>
        </w:rPr>
        <w:t>某</w:t>
      </w:r>
      <w:r>
        <w:rPr>
          <w:rFonts w:cs="仿宋"/>
        </w:rPr>
        <w:t>强、李某拓、</w:t>
      </w:r>
      <w:r>
        <w:rPr>
          <w:rFonts w:hint="default" w:cs="仿宋"/>
        </w:rPr>
        <w:t>武某</w:t>
      </w:r>
      <w:r>
        <w:rPr>
          <w:rFonts w:cs="仿宋"/>
        </w:rPr>
        <w:t>均承担事故次要</w:t>
      </w:r>
      <w:r>
        <w:rPr>
          <w:rFonts w:hint="default" w:cs="仿宋"/>
        </w:rPr>
        <w:t>责任。</w:t>
      </w:r>
    </w:p>
    <w:p>
      <w:pPr>
        <w:spacing w:line="520" w:lineRule="exact"/>
        <w:ind w:firstLine="632"/>
        <w:rPr>
          <w:rFonts w:hint="default"/>
        </w:rPr>
      </w:pPr>
      <w:r>
        <w:t>二、车辆保险情况：武某停放的</w:t>
      </w:r>
      <w:r>
        <w:rPr>
          <w:rFonts w:hint="default"/>
        </w:rPr>
        <w:t>小型轿车</w:t>
      </w:r>
      <w:r>
        <w:t>在太</w:t>
      </w:r>
      <w:r>
        <w:rPr>
          <w:rFonts w:hint="eastAsia"/>
        </w:rPr>
        <w:t>某</w:t>
      </w:r>
      <w:r>
        <w:t>洋财险处投有交强险及保额为200万元的商业三者险，李某拓停放的</w:t>
      </w:r>
      <w:r>
        <w:rPr>
          <w:rFonts w:hint="default"/>
        </w:rPr>
        <w:t>小型轿车在</w:t>
      </w:r>
      <w:r>
        <w:t>天</w:t>
      </w:r>
      <w:r>
        <w:rPr>
          <w:rFonts w:hint="eastAsia"/>
        </w:rPr>
        <w:t>某</w:t>
      </w:r>
      <w:r>
        <w:t>财产保险股份有限公司济宁中心支公司</w:t>
      </w:r>
      <w:r>
        <w:rPr>
          <w:rFonts w:hint="default"/>
        </w:rPr>
        <w:t>处投有交强险及200万元的商业三者险，</w:t>
      </w:r>
      <w:r>
        <w:t>王某驾驶的</w:t>
      </w:r>
      <w:r>
        <w:rPr>
          <w:rFonts w:hint="default"/>
        </w:rPr>
        <w:t>小型普通客车</w:t>
      </w:r>
      <w:r>
        <w:t>在中国</w:t>
      </w:r>
      <w:r>
        <w:rPr>
          <w:rFonts w:hint="eastAsia"/>
        </w:rPr>
        <w:t>某某</w:t>
      </w:r>
      <w:r>
        <w:t>财产保险股份有限公司济宁中心支公司处投有交强险及商业三者险，本次事故均发生在保险期间。</w:t>
      </w:r>
    </w:p>
    <w:p>
      <w:pPr>
        <w:spacing w:line="520" w:lineRule="exact"/>
        <w:ind w:firstLine="632" w:firstLineChars="200"/>
        <w:rPr>
          <w:rFonts w:hint="default"/>
        </w:rPr>
      </w:pPr>
      <w:r>
        <w:t>三、赔偿及垫付情况：事故发生后，天</w:t>
      </w:r>
      <w:r>
        <w:rPr>
          <w:rFonts w:hint="eastAsia"/>
        </w:rPr>
        <w:t>某</w:t>
      </w:r>
      <w:r>
        <w:t>财产保险股份有限公司济宁中心支公司赔偿原告徐某某各项经济损失272 000元，中国</w:t>
      </w:r>
      <w:r>
        <w:rPr>
          <w:rFonts w:hint="eastAsia"/>
        </w:rPr>
        <w:t>某某</w:t>
      </w:r>
      <w:r>
        <w:t>财产保险股份有限公司济宁中心支公司赔偿原告徐某某各项经济损失272073.4元。</w:t>
      </w:r>
    </w:p>
    <w:p>
      <w:pPr>
        <w:spacing w:line="520" w:lineRule="exact"/>
        <w:ind w:firstLine="632" w:firstLineChars="200"/>
        <w:rPr>
          <w:rFonts w:hint="default"/>
        </w:rPr>
      </w:pPr>
      <w:r>
        <w:t>五、徐某某各项损失核定如下：</w:t>
      </w:r>
    </w:p>
    <w:bookmarkEnd w:id="8"/>
    <w:p>
      <w:pPr>
        <w:spacing w:line="520" w:lineRule="exact"/>
        <w:ind w:firstLine="632"/>
        <w:rPr>
          <w:rFonts w:hint="default"/>
        </w:rPr>
      </w:pPr>
      <w:r>
        <w:rPr>
          <w:rFonts w:hint="default"/>
        </w:rPr>
        <w:t>1、死亡赔偿金：4</w:t>
      </w:r>
      <w:r>
        <w:t>7 066</w:t>
      </w:r>
      <w:r>
        <w:rPr>
          <w:rFonts w:hint="default"/>
        </w:rPr>
        <w:t>元/年×20年</w:t>
      </w:r>
      <w:r>
        <w:rPr>
          <w:rFonts w:ascii="宋体" w:hAnsi="宋体" w:eastAsia="宋体" w:cs="宋体"/>
        </w:rPr>
        <w:t>﹦</w:t>
      </w:r>
      <w:r>
        <w:t>941 320</w:t>
      </w:r>
      <w:r>
        <w:rPr>
          <w:rFonts w:hint="default"/>
        </w:rPr>
        <w:t>元</w:t>
      </w:r>
      <w:r>
        <w:t>。</w:t>
      </w:r>
    </w:p>
    <w:p>
      <w:pPr>
        <w:spacing w:line="520" w:lineRule="exact"/>
        <w:ind w:firstLine="632" w:firstLineChars="200"/>
        <w:rPr>
          <w:rFonts w:hint="default"/>
        </w:rPr>
      </w:pPr>
      <w:r>
        <w:rPr>
          <w:rFonts w:hint="default"/>
        </w:rPr>
        <w:t>2、丧葬费：</w:t>
      </w:r>
      <w:r>
        <w:t>49 047</w:t>
      </w:r>
      <w:r>
        <w:rPr>
          <w:rFonts w:hint="default"/>
        </w:rPr>
        <w:t>元</w:t>
      </w:r>
      <w:r>
        <w:t>。</w:t>
      </w:r>
    </w:p>
    <w:p>
      <w:pPr>
        <w:spacing w:line="520" w:lineRule="exact"/>
        <w:ind w:firstLine="632" w:firstLineChars="200"/>
        <w:rPr>
          <w:rFonts w:hint="default"/>
        </w:rPr>
      </w:pPr>
      <w:r>
        <w:t>合计：99 0367</w:t>
      </w:r>
      <w:r>
        <w:rPr>
          <w:rFonts w:hint="default"/>
        </w:rPr>
        <w:t>元</w:t>
      </w:r>
    </w:p>
    <w:p>
      <w:pPr>
        <w:spacing w:line="520" w:lineRule="exact"/>
        <w:ind w:firstLine="632" w:firstLineChars="200"/>
        <w:rPr>
          <w:rFonts w:hint="default"/>
        </w:rPr>
      </w:pPr>
      <w:r>
        <w:t>本院认为，金乡县公安局交警大队作出的道路交通事故认定书事实清楚，依据充分，本院予以确认。被告武某负事故同等责任，根据事故双方当事人在事故中的过错程度及驾驶交通工具的情况，本院酌定武某在本事故中承担1</w:t>
      </w:r>
      <w:r>
        <w:rPr>
          <w:rFonts w:hint="default"/>
        </w:rPr>
        <w:t>0%的</w:t>
      </w:r>
      <w:r>
        <w:t>赔偿</w:t>
      </w:r>
      <w:r>
        <w:rPr>
          <w:rFonts w:hint="default"/>
        </w:rPr>
        <w:t>责任</w:t>
      </w:r>
      <w:r>
        <w:t>。</w:t>
      </w:r>
      <w:r>
        <w:rPr>
          <w:rFonts w:hint="default"/>
        </w:rPr>
        <w:t>因</w:t>
      </w:r>
      <w:r>
        <w:t>武某</w:t>
      </w:r>
      <w:r>
        <w:rPr>
          <w:rFonts w:hint="default"/>
        </w:rPr>
        <w:t>驾驶的肇事车辆在太某洋财险</w:t>
      </w:r>
      <w:r>
        <w:t>投有</w:t>
      </w:r>
      <w:r>
        <w:rPr>
          <w:rFonts w:hint="default"/>
        </w:rPr>
        <w:t>交</w:t>
      </w:r>
      <w:r>
        <w:t>强</w:t>
      </w:r>
      <w:r>
        <w:rPr>
          <w:rFonts w:hint="default"/>
        </w:rPr>
        <w:t>险</w:t>
      </w:r>
      <w:r>
        <w:t>及200万元的</w:t>
      </w:r>
      <w:r>
        <w:rPr>
          <w:rFonts w:hint="default"/>
        </w:rPr>
        <w:t>商业三者险，</w:t>
      </w:r>
      <w:r>
        <w:t>故原告的损失应由太</w:t>
      </w:r>
      <w:r>
        <w:rPr>
          <w:rFonts w:hint="eastAsia"/>
        </w:rPr>
        <w:t>某</w:t>
      </w:r>
      <w:r>
        <w:t>洋财险首先在交强险限额内死亡伤残项下赔偿180 000元，扣除王</w:t>
      </w:r>
      <w:r>
        <w:rPr>
          <w:rFonts w:hint="eastAsia"/>
        </w:rPr>
        <w:t>某</w:t>
      </w:r>
      <w:r>
        <w:t>强驾驶的车辆、李</w:t>
      </w:r>
      <w:r>
        <w:rPr>
          <w:rFonts w:hint="eastAsia"/>
        </w:rPr>
        <w:t>某</w:t>
      </w:r>
      <w:r>
        <w:t>拓停放的车辆投保的交强险限额共计360 000元后，超出部分按照武某应当承担的责任比例赔偿45 036.7元[（990 367-180 000-360 000）×10%],上述共计赔偿225 036.7元。关于太</w:t>
      </w:r>
      <w:r>
        <w:rPr>
          <w:rFonts w:hint="eastAsia"/>
        </w:rPr>
        <w:t>某</w:t>
      </w:r>
      <w:r>
        <w:t>洋财险辩称因武某停放的车辆未报案无法核实是否承保车辆、不承担赔偿责任的观点，本院认为，本案事故发生后由交警大队进行现场勘验并出具了事故认定书，事故认定书记载的事故车辆车牌号码及所有权人与投保单记载的一致，能够确认案涉车辆系太</w:t>
      </w:r>
      <w:r>
        <w:rPr>
          <w:rFonts w:hint="eastAsia"/>
        </w:rPr>
        <w:t>某</w:t>
      </w:r>
      <w:r>
        <w:t>洋财险承保的车辆，且其提交的证据不足以证实承保车辆存在保险条款第二十四条第八款约定的免赔情形，对于上述观点本院不予采纳。原告主张的车损因提供的证据不足，本院不予支持，主张的其他超出部分于法无据，本院亦不予支持。综上所述，依照</w:t>
      </w:r>
      <w:r>
        <w:rPr>
          <w:rFonts w:hint="default"/>
        </w:rPr>
        <w:t>《中华人民共和国</w:t>
      </w:r>
      <w:r>
        <w:t>民法典</w:t>
      </w:r>
      <w:r>
        <w:rPr>
          <w:rFonts w:hint="default"/>
        </w:rPr>
        <w:t>》第</w:t>
      </w:r>
      <w:r>
        <w:t>一千一百六十五</w:t>
      </w:r>
      <w:r>
        <w:rPr>
          <w:rFonts w:hint="default"/>
        </w:rPr>
        <w:t>条、第</w:t>
      </w:r>
      <w:r>
        <w:t>一千一百七十九</w:t>
      </w:r>
      <w:r>
        <w:rPr>
          <w:rFonts w:hint="default"/>
        </w:rPr>
        <w:t>条、</w:t>
      </w:r>
      <w:r>
        <w:t>第一千二百一十三条，</w:t>
      </w:r>
      <w:r>
        <w:rPr>
          <w:rFonts w:hint="default"/>
        </w:rPr>
        <w:t>《中华人民共和国道路交通安全法》第七十六条</w:t>
      </w:r>
      <w:r>
        <w:t>，</w:t>
      </w:r>
      <w:r>
        <w:rPr>
          <w:rFonts w:hint="default"/>
        </w:rPr>
        <w:t>《最高人民法院关于审理道路交通事故损害赔偿案件适用法律若干问题的解释》第十</w:t>
      </w:r>
      <w:r>
        <w:t>三</w:t>
      </w:r>
      <w:r>
        <w:rPr>
          <w:rFonts w:hint="default"/>
        </w:rPr>
        <w:t>条</w:t>
      </w:r>
      <w:r>
        <w:t>，《最高人民法院关于适用</w:t>
      </w:r>
      <w:r>
        <w:rPr>
          <w:rFonts w:hint="default"/>
        </w:rPr>
        <w:t>&lt;中华人民共和国民事诉讼法&gt;的解释》第九十条规定，判决如下：</w:t>
      </w:r>
    </w:p>
    <w:p>
      <w:pPr>
        <w:spacing w:line="520" w:lineRule="exact"/>
        <w:ind w:firstLine="632"/>
        <w:rPr>
          <w:rFonts w:hint="default"/>
        </w:rPr>
      </w:pPr>
      <w:r>
        <w:t>一、被告太</w:t>
      </w:r>
      <w:r>
        <w:rPr>
          <w:rFonts w:hint="eastAsia"/>
        </w:rPr>
        <w:t>某</w:t>
      </w:r>
      <w:r>
        <w:t>洋财产保险股份有限公司赔偿原告徐某某死亡赔偿金、丧葬费共计</w:t>
      </w:r>
      <w:r>
        <w:rPr>
          <w:rFonts w:hint="default"/>
        </w:rPr>
        <w:t>225 036.7元，于本判决生效之日起十日内付清</w:t>
      </w:r>
      <w:r>
        <w:t>；</w:t>
      </w:r>
      <w:bookmarkStart w:id="9" w:name="_GoBack"/>
      <w:bookmarkEnd w:id="9"/>
    </w:p>
    <w:p>
      <w:pPr>
        <w:ind w:firstLine="632"/>
        <w:rPr>
          <w:rFonts w:hint="default"/>
        </w:rPr>
      </w:pPr>
      <w:r>
        <w:t>二、驳回原告徐某某的其他诉讼请求。</w:t>
      </w:r>
    </w:p>
    <w:p>
      <w:pPr>
        <w:spacing w:line="520" w:lineRule="exact"/>
        <w:ind w:firstLine="632" w:firstLineChars="200"/>
        <w:rPr>
          <w:rFonts w:hint="default"/>
        </w:rPr>
      </w:pPr>
      <w:r>
        <w:t>如果未按本判决指定的期间履行给付金钱义务，应当依照《中华人民共和国民事诉讼法》第二百六十条规定，加倍支付迟延履行期间的债务利息。</w:t>
      </w:r>
    </w:p>
    <w:p>
      <w:pPr>
        <w:spacing w:line="520" w:lineRule="exact"/>
        <w:ind w:firstLine="632" w:firstLineChars="200"/>
        <w:rPr>
          <w:rFonts w:hint="default"/>
        </w:rPr>
      </w:pPr>
      <w:r>
        <w:t>案件受理费5 380</w:t>
      </w:r>
      <w:r>
        <w:rPr>
          <w:rFonts w:hint="default"/>
        </w:rPr>
        <w:t>元，减半收取计</w:t>
      </w:r>
      <w:r>
        <w:t>2 690</w:t>
      </w:r>
      <w:r>
        <w:rPr>
          <w:rFonts w:hint="default"/>
        </w:rPr>
        <w:t>元</w:t>
      </w:r>
      <w:r>
        <w:t>，</w:t>
      </w:r>
      <w:r>
        <w:rPr>
          <w:rFonts w:hint="default"/>
        </w:rPr>
        <w:t>由原告</w:t>
      </w:r>
      <w:r>
        <w:t>徐某某</w:t>
      </w:r>
      <w:r>
        <w:rPr>
          <w:rFonts w:hint="default"/>
        </w:rPr>
        <w:t>负担</w:t>
      </w:r>
      <w:r>
        <w:t>。</w:t>
      </w:r>
    </w:p>
    <w:p>
      <w:pPr>
        <w:spacing w:line="520" w:lineRule="exact"/>
        <w:ind w:firstLine="632" w:firstLineChars="200"/>
        <w:rPr>
          <w:rFonts w:hint="default"/>
        </w:rPr>
      </w:pPr>
      <w:r>
        <w:t>如不服本判决，可以在判决书送达之日起十五日内，向本院递交上诉状，并按照对方当事人的人数提出副本，上诉于山东省济宁市中级人民法院；也可以在判决书送达之日起十五日内，向山东省济宁市中级人民法院在线提交上诉状。　　　</w:t>
      </w:r>
    </w:p>
    <w:p>
      <w:pPr>
        <w:spacing w:line="520" w:lineRule="exact"/>
        <w:ind w:firstLine="632" w:firstLineChars="200"/>
        <w:rPr>
          <w:rFonts w:hint="default"/>
        </w:rPr>
      </w:pPr>
    </w:p>
    <w:p>
      <w:pPr>
        <w:spacing w:line="520" w:lineRule="exact"/>
        <w:rPr>
          <w:rFonts w:hint="default"/>
        </w:rPr>
      </w:pPr>
    </w:p>
    <w:p>
      <w:pPr>
        <w:spacing w:line="520" w:lineRule="exact"/>
        <w:ind w:right="632" w:firstLine="4266" w:firstLineChars="1350"/>
        <w:rPr>
          <w:rFonts w:hint="default"/>
        </w:rPr>
      </w:pPr>
      <w:r>
        <w:t>审</w:t>
      </w:r>
      <w:r>
        <w:rPr>
          <w:rFonts w:hint="default"/>
        </w:rPr>
        <w:t xml:space="preserve">  判  员    王璐璐</w:t>
      </w:r>
    </w:p>
    <w:p>
      <w:pPr>
        <w:spacing w:line="520" w:lineRule="exact"/>
        <w:jc w:val="right"/>
        <w:rPr>
          <w:rFonts w:hint="default"/>
        </w:rPr>
      </w:pPr>
    </w:p>
    <w:p>
      <w:pPr>
        <w:spacing w:line="520" w:lineRule="exact"/>
        <w:jc w:val="right"/>
        <w:rPr>
          <w:rFonts w:hint="default"/>
        </w:rPr>
      </w:pPr>
    </w:p>
    <w:p>
      <w:pPr>
        <w:spacing w:line="520" w:lineRule="exact"/>
        <w:ind w:right="632" w:firstLine="4345" w:firstLineChars="1375"/>
        <w:rPr>
          <w:rFonts w:hint="default"/>
        </w:rPr>
      </w:pPr>
      <w:r>
        <w:t>二</w:t>
      </w:r>
      <w:r>
        <w:rPr>
          <w:rFonts w:ascii="宋体" w:hAnsi="宋体" w:eastAsia="宋体" w:cs="宋体"/>
        </w:rPr>
        <w:t>〇</w:t>
      </w:r>
      <w:r>
        <w:rPr>
          <w:rFonts w:cs="仿宋_GB2312"/>
        </w:rPr>
        <w:t>二二年十月十七日</w:t>
      </w:r>
      <w:r>
        <w:rPr>
          <w:rFonts w:hint="default"/>
        </w:rPr>
        <w:t xml:space="preserve"> </w:t>
      </w:r>
      <w:r>
        <w:t xml:space="preserve">   </w:t>
      </w:r>
    </w:p>
    <w:p>
      <w:pPr>
        <w:spacing w:line="520" w:lineRule="exact"/>
        <w:jc w:val="right"/>
        <w:rPr>
          <w:rFonts w:hint="default"/>
        </w:rPr>
      </w:pPr>
    </w:p>
    <w:p>
      <w:pPr>
        <w:spacing w:line="520" w:lineRule="exact"/>
        <w:ind w:right="632" w:firstLine="4266" w:firstLineChars="1350"/>
        <w:rPr>
          <w:rFonts w:hint="default"/>
        </w:rPr>
      </w:pPr>
      <w:r>
        <w:t>法</w:t>
      </w:r>
      <w:r>
        <w:rPr>
          <w:rFonts w:hint="default"/>
        </w:rPr>
        <w:t xml:space="preserve"> 官助 理    </w:t>
      </w:r>
      <w:r>
        <w:t>王小梅</w:t>
      </w:r>
    </w:p>
    <w:p>
      <w:pPr>
        <w:spacing w:line="520" w:lineRule="exact"/>
        <w:ind w:right="632" w:firstLine="4266" w:firstLineChars="1350"/>
        <w:rPr>
          <w:rFonts w:hint="default"/>
        </w:rPr>
      </w:pPr>
      <w:r>
        <w:t>书</w:t>
      </w:r>
      <w:r>
        <w:rPr>
          <w:rFonts w:hint="default"/>
        </w:rPr>
        <w:t xml:space="preserve">  记  员    </w:t>
      </w:r>
      <w:r>
        <w:t>张明恒</w:t>
      </w:r>
      <w:r>
        <w:rPr>
          <w:rFonts w:hint="default"/>
        </w:rPr>
        <w:t>　</w:t>
      </w:r>
    </w:p>
    <w:p>
      <w:pPr>
        <w:spacing w:line="520" w:lineRule="exact"/>
        <w:rPr>
          <w:rFonts w:hint="default"/>
          <w:b/>
        </w:rPr>
      </w:pPr>
    </w:p>
    <w:p>
      <w:pPr>
        <w:spacing w:line="520" w:lineRule="exact"/>
        <w:rPr>
          <w:rFonts w:hint="default"/>
          <w:b/>
        </w:rPr>
      </w:pPr>
    </w:p>
    <w:p>
      <w:pPr>
        <w:spacing w:line="520" w:lineRule="exact"/>
        <w:rPr>
          <w:rFonts w:hint="default"/>
          <w:b/>
        </w:rPr>
      </w:pPr>
    </w:p>
    <w:p>
      <w:pPr>
        <w:spacing w:line="520" w:lineRule="exact"/>
        <w:ind w:firstLine="632" w:firstLineChars="200"/>
        <w:rPr>
          <w:rFonts w:hint="default"/>
        </w:rPr>
      </w:pPr>
    </w:p>
    <w:sectPr>
      <w:footerReference r:id="rId3" w:type="default"/>
      <w:footerReference r:id="rId4" w:type="even"/>
      <w:pgSz w:w="11906" w:h="16838"/>
      <w:pgMar w:top="1984" w:right="1531" w:bottom="1814" w:left="1531" w:header="850" w:footer="1723" w:gutter="0"/>
      <w:cols w:space="425" w:num="1"/>
      <w:docGrid w:type="linesAndChars" w:linePitch="592"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大标宋简体">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posOffset>4775200</wp:posOffset>
              </wp:positionH>
              <wp:positionV relativeFrom="paragraph">
                <wp:posOffset>0</wp:posOffset>
              </wp:positionV>
              <wp:extent cx="622935" cy="230505"/>
              <wp:effectExtent l="3175"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wps:spPr>
                    <wps:txbx>
                      <w:txbxContent>
                        <w:p>
                          <w:pPr>
                            <w:rPr>
                              <w:rFonts w:hint="default"/>
                            </w:rPr>
                          </w:pPr>
                          <w:r>
                            <w:rPr>
                              <w:rFonts w:ascii="宋体" w:hAnsi="宋体" w:eastAsia="宋体"/>
                              <w:color w:val="000000"/>
                              <w:sz w:val="28"/>
                              <w:szCs w:val="28"/>
                            </w:rPr>
                            <w:t xml:space="preserve">— </w:t>
                          </w:r>
                          <w:r>
                            <w:rPr>
                              <w:rFonts w:ascii="宋体" w:hAnsi="宋体" w:eastAsia="宋体"/>
                              <w:color w:val="000000"/>
                              <w:sz w:val="28"/>
                              <w:szCs w:val="28"/>
                            </w:rPr>
                            <w:fldChar w:fldCharType="begin"/>
                          </w:r>
                          <w:r>
                            <w:rPr>
                              <w:rFonts w:ascii="宋体" w:hAnsi="宋体" w:eastAsia="宋体"/>
                              <w:color w:val="000000"/>
                              <w:sz w:val="28"/>
                              <w:szCs w:val="28"/>
                            </w:rPr>
                            <w:instrText xml:space="preserve">PAGE   \* MERGEFORMAT</w:instrText>
                          </w:r>
                          <w:r>
                            <w:rPr>
                              <w:rFonts w:ascii="宋体" w:hAnsi="宋体" w:eastAsia="宋体"/>
                              <w:color w:val="000000"/>
                              <w:sz w:val="28"/>
                              <w:szCs w:val="28"/>
                            </w:rPr>
                            <w:fldChar w:fldCharType="separate"/>
                          </w:r>
                          <w:r>
                            <w:rPr>
                              <w:rFonts w:hint="default" w:ascii="宋体" w:hAnsi="宋体" w:eastAsia="宋体"/>
                              <w:color w:val="000000"/>
                              <w:sz w:val="28"/>
                              <w:szCs w:val="28"/>
                            </w:rPr>
                            <w:t>5</w:t>
                          </w:r>
                          <w:r>
                            <w:rPr>
                              <w:rFonts w:ascii="宋体" w:hAnsi="宋体" w:eastAsia="宋体"/>
                              <w:color w:val="000000"/>
                              <w:sz w:val="28"/>
                              <w:szCs w:val="28"/>
                            </w:rPr>
                            <w:fldChar w:fldCharType="end"/>
                          </w:r>
                          <w:r>
                            <w:rPr>
                              <w:rFonts w:ascii="宋体" w:hAnsi="宋体" w:eastAsia="宋体"/>
                              <w:color w:val="000000"/>
                              <w:sz w:val="28"/>
                              <w:szCs w:val="28"/>
                            </w:rPr>
                            <w:t xml:space="preserve"> —</w:t>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left:376pt;margin-top:0pt;height:18.15pt;width:49.05pt;mso-position-horizontal-relative:margin;mso-wrap-style:none;z-index:251659264;mso-width-relative:page;mso-height-relative:page;" filled="f" stroked="f" coordsize="21600,21600" o:gfxdata="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0NRlNQAAAAHAQAADwAAAAAAAAABACAAAAAiAAAAZHJzL2Rvd25yZXYueG1s&#10;UEsBAhQAFAAAAAgAh07iQBjU3YH8AQAABAQAAA4AAAAAAAAAAQAgAAAAIwEAAGRycy9lMm9Eb2Mu&#10;eG1sUEsFBgAAAAAGAAYAWQEAAJEFAAAAAA==&#10;">
              <v:fill on="f" focussize="0,0"/>
              <v:stroke on="f"/>
              <v:imagedata o:title=""/>
              <o:lock v:ext="edit" aspectratio="f"/>
              <v:textbox inset="0mm,0mm,0mm,0mm" style="mso-fit-shape-to-text:t;">
                <w:txbxContent>
                  <w:p>
                    <w:pPr>
                      <w:rPr>
                        <w:rFonts w:hint="default"/>
                      </w:rPr>
                    </w:pPr>
                    <w:r>
                      <w:rPr>
                        <w:rFonts w:ascii="宋体" w:hAnsi="宋体" w:eastAsia="宋体"/>
                        <w:color w:val="000000"/>
                        <w:sz w:val="28"/>
                        <w:szCs w:val="28"/>
                      </w:rPr>
                      <w:t xml:space="preserve">— </w:t>
                    </w:r>
                    <w:r>
                      <w:rPr>
                        <w:rFonts w:ascii="宋体" w:hAnsi="宋体" w:eastAsia="宋体"/>
                        <w:color w:val="000000"/>
                        <w:sz w:val="28"/>
                        <w:szCs w:val="28"/>
                      </w:rPr>
                      <w:fldChar w:fldCharType="begin"/>
                    </w:r>
                    <w:r>
                      <w:rPr>
                        <w:rFonts w:ascii="宋体" w:hAnsi="宋体" w:eastAsia="宋体"/>
                        <w:color w:val="000000"/>
                        <w:sz w:val="28"/>
                        <w:szCs w:val="28"/>
                      </w:rPr>
                      <w:instrText xml:space="preserve">PAGE   \* MERGEFORMAT</w:instrText>
                    </w:r>
                    <w:r>
                      <w:rPr>
                        <w:rFonts w:ascii="宋体" w:hAnsi="宋体" w:eastAsia="宋体"/>
                        <w:color w:val="000000"/>
                        <w:sz w:val="28"/>
                        <w:szCs w:val="28"/>
                      </w:rPr>
                      <w:fldChar w:fldCharType="separate"/>
                    </w:r>
                    <w:r>
                      <w:rPr>
                        <w:rFonts w:hint="default" w:ascii="宋体" w:hAnsi="宋体" w:eastAsia="宋体"/>
                        <w:color w:val="000000"/>
                        <w:sz w:val="28"/>
                        <w:szCs w:val="28"/>
                      </w:rPr>
                      <w:t>5</w:t>
                    </w:r>
                    <w:r>
                      <w:rPr>
                        <w:rFonts w:ascii="宋体" w:hAnsi="宋体" w:eastAsia="宋体"/>
                        <w:color w:val="000000"/>
                        <w:sz w:val="28"/>
                        <w:szCs w:val="28"/>
                      </w:rPr>
                      <w:fldChar w:fldCharType="end"/>
                    </w:r>
                    <w:r>
                      <w:rPr>
                        <w:rFonts w:ascii="宋体" w:hAnsi="宋体" w:eastAsia="宋体"/>
                        <w:color w:val="000000"/>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hint="default"/>
      </w:rPr>
    </w:pPr>
    <w:r>
      <w:rPr>
        <w:rFonts w:hint="default"/>
      </w:rPr>
      <mc:AlternateContent>
        <mc:Choice Requires="wps">
          <w:drawing>
            <wp:anchor distT="0" distB="0" distL="114300" distR="114300" simplePos="0" relativeHeight="251660288" behindDoc="0" locked="0" layoutInCell="1" allowOverlap="1">
              <wp:simplePos x="0" y="0"/>
              <wp:positionH relativeFrom="margin">
                <wp:posOffset>203200</wp:posOffset>
              </wp:positionH>
              <wp:positionV relativeFrom="paragraph">
                <wp:posOffset>0</wp:posOffset>
              </wp:positionV>
              <wp:extent cx="622935" cy="230505"/>
              <wp:effectExtent l="3175" t="0" r="0" b="0"/>
              <wp:wrapNone/>
              <wp:docPr id="2"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wps:spPr>
                    <wps:txbx>
                      <w:txbxContent>
                        <w:p>
                          <w:pPr>
                            <w:rPr>
                              <w:rFonts w:hint="default"/>
                            </w:rPr>
                          </w:pPr>
                          <w:r>
                            <w:rPr>
                              <w:rFonts w:ascii="宋体" w:hAnsi="宋体" w:eastAsia="宋体"/>
                              <w:color w:val="000000"/>
                              <w:sz w:val="28"/>
                              <w:szCs w:val="28"/>
                            </w:rPr>
                            <w:t xml:space="preserve">— </w:t>
                          </w:r>
                          <w:r>
                            <w:rPr>
                              <w:rFonts w:ascii="宋体" w:hAnsi="宋体" w:eastAsia="宋体"/>
                              <w:color w:val="000000"/>
                              <w:sz w:val="28"/>
                              <w:szCs w:val="28"/>
                            </w:rPr>
                            <w:fldChar w:fldCharType="begin"/>
                          </w:r>
                          <w:r>
                            <w:rPr>
                              <w:rFonts w:ascii="宋体" w:hAnsi="宋体" w:eastAsia="宋体"/>
                              <w:color w:val="000000"/>
                              <w:sz w:val="28"/>
                              <w:szCs w:val="28"/>
                            </w:rPr>
                            <w:instrText xml:space="preserve">PAGE   \* MERGEFORMAT</w:instrText>
                          </w:r>
                          <w:r>
                            <w:rPr>
                              <w:rFonts w:ascii="宋体" w:hAnsi="宋体" w:eastAsia="宋体"/>
                              <w:color w:val="000000"/>
                              <w:sz w:val="28"/>
                              <w:szCs w:val="28"/>
                            </w:rPr>
                            <w:fldChar w:fldCharType="separate"/>
                          </w:r>
                          <w:r>
                            <w:rPr>
                              <w:rFonts w:hint="default" w:ascii="宋体" w:hAnsi="宋体" w:eastAsia="宋体"/>
                              <w:color w:val="000000"/>
                              <w:sz w:val="28"/>
                              <w:szCs w:val="28"/>
                            </w:rPr>
                            <w:t>6</w:t>
                          </w:r>
                          <w:r>
                            <w:rPr>
                              <w:rFonts w:ascii="宋体" w:hAnsi="宋体" w:eastAsia="宋体"/>
                              <w:color w:val="000000"/>
                              <w:sz w:val="28"/>
                              <w:szCs w:val="28"/>
                            </w:rPr>
                            <w:fldChar w:fldCharType="end"/>
                          </w:r>
                          <w:r>
                            <w:rPr>
                              <w:rFonts w:ascii="宋体" w:hAnsi="宋体" w:eastAsia="宋体"/>
                              <w:color w:val="000000"/>
                              <w:sz w:val="28"/>
                              <w:szCs w:val="28"/>
                            </w:rPr>
                            <w:t xml:space="preserve"> —</w:t>
                          </w: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left:16pt;margin-top:0pt;height:18.15pt;width:49.05pt;mso-position-horizontal-relative:margin;mso-wrap-style:none;z-index:251660288;mso-width-relative:page;mso-height-relative:page;" filled="f" stroked="f" coordsize="21600,21600" o:gfxdata="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ZIcxNMAAAAGAQAADwAAAAAAAAABACAAAAAiAAAAZHJzL2Rvd25yZXYueG1s&#10;UEsBAhQAFAAAAAgAh07iQOv/4hv9AQAABAQAAA4AAAAAAAAAAQAgAAAAIgEAAGRycy9lMm9Eb2Mu&#10;eG1sUEsFBgAAAAAGAAYAWQEAAJEFAAAAAA==&#10;">
              <v:fill on="f" focussize="0,0"/>
              <v:stroke on="f"/>
              <v:imagedata o:title=""/>
              <o:lock v:ext="edit" aspectratio="f"/>
              <v:textbox inset="0mm,0mm,0mm,0mm" style="mso-fit-shape-to-text:t;">
                <w:txbxContent>
                  <w:p>
                    <w:pPr>
                      <w:rPr>
                        <w:rFonts w:hint="default"/>
                      </w:rPr>
                    </w:pPr>
                    <w:r>
                      <w:rPr>
                        <w:rFonts w:ascii="宋体" w:hAnsi="宋体" w:eastAsia="宋体"/>
                        <w:color w:val="000000"/>
                        <w:sz w:val="28"/>
                        <w:szCs w:val="28"/>
                      </w:rPr>
                      <w:t xml:space="preserve">— </w:t>
                    </w:r>
                    <w:r>
                      <w:rPr>
                        <w:rFonts w:ascii="宋体" w:hAnsi="宋体" w:eastAsia="宋体"/>
                        <w:color w:val="000000"/>
                        <w:sz w:val="28"/>
                        <w:szCs w:val="28"/>
                      </w:rPr>
                      <w:fldChar w:fldCharType="begin"/>
                    </w:r>
                    <w:r>
                      <w:rPr>
                        <w:rFonts w:ascii="宋体" w:hAnsi="宋体" w:eastAsia="宋体"/>
                        <w:color w:val="000000"/>
                        <w:sz w:val="28"/>
                        <w:szCs w:val="28"/>
                      </w:rPr>
                      <w:instrText xml:space="preserve">PAGE   \* MERGEFORMAT</w:instrText>
                    </w:r>
                    <w:r>
                      <w:rPr>
                        <w:rFonts w:ascii="宋体" w:hAnsi="宋体" w:eastAsia="宋体"/>
                        <w:color w:val="000000"/>
                        <w:sz w:val="28"/>
                        <w:szCs w:val="28"/>
                      </w:rPr>
                      <w:fldChar w:fldCharType="separate"/>
                    </w:r>
                    <w:r>
                      <w:rPr>
                        <w:rFonts w:hint="default" w:ascii="宋体" w:hAnsi="宋体" w:eastAsia="宋体"/>
                        <w:color w:val="000000"/>
                        <w:sz w:val="28"/>
                        <w:szCs w:val="28"/>
                      </w:rPr>
                      <w:t>6</w:t>
                    </w:r>
                    <w:r>
                      <w:rPr>
                        <w:rFonts w:ascii="宋体" w:hAnsi="宋体" w:eastAsia="宋体"/>
                        <w:color w:val="000000"/>
                        <w:sz w:val="28"/>
                        <w:szCs w:val="28"/>
                      </w:rPr>
                      <w:fldChar w:fldCharType="end"/>
                    </w:r>
                    <w:r>
                      <w:rPr>
                        <w:rFonts w:ascii="宋体" w:hAnsi="宋体" w:eastAsia="宋体"/>
                        <w:color w:val="000000"/>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634D1AD600002229" w:val=" "/>
  </w:docVars>
  <w:rsids>
    <w:rsidRoot w:val="006F7799"/>
    <w:rsid w:val="000003D7"/>
    <w:rsid w:val="00001F25"/>
    <w:rsid w:val="00011B86"/>
    <w:rsid w:val="00012BA7"/>
    <w:rsid w:val="00015EDC"/>
    <w:rsid w:val="00017EE6"/>
    <w:rsid w:val="000246EC"/>
    <w:rsid w:val="00030A70"/>
    <w:rsid w:val="00045370"/>
    <w:rsid w:val="00046E5B"/>
    <w:rsid w:val="000478D4"/>
    <w:rsid w:val="00055E43"/>
    <w:rsid w:val="00060AF1"/>
    <w:rsid w:val="00066CCE"/>
    <w:rsid w:val="000706E7"/>
    <w:rsid w:val="00070D42"/>
    <w:rsid w:val="00076F8B"/>
    <w:rsid w:val="000779C3"/>
    <w:rsid w:val="000A2D39"/>
    <w:rsid w:val="000A4458"/>
    <w:rsid w:val="000B39DA"/>
    <w:rsid w:val="000B4783"/>
    <w:rsid w:val="000C0056"/>
    <w:rsid w:val="000E05FC"/>
    <w:rsid w:val="000E1861"/>
    <w:rsid w:val="001009A4"/>
    <w:rsid w:val="00100CB7"/>
    <w:rsid w:val="00110A11"/>
    <w:rsid w:val="001127DE"/>
    <w:rsid w:val="00116E3C"/>
    <w:rsid w:val="00123898"/>
    <w:rsid w:val="00125372"/>
    <w:rsid w:val="00126B74"/>
    <w:rsid w:val="00153E71"/>
    <w:rsid w:val="0015534F"/>
    <w:rsid w:val="00156566"/>
    <w:rsid w:val="00162F31"/>
    <w:rsid w:val="00167BC8"/>
    <w:rsid w:val="001A2D2A"/>
    <w:rsid w:val="001B167B"/>
    <w:rsid w:val="001B3BC1"/>
    <w:rsid w:val="001B429D"/>
    <w:rsid w:val="001B78DE"/>
    <w:rsid w:val="001C3E91"/>
    <w:rsid w:val="001C728C"/>
    <w:rsid w:val="001C78C1"/>
    <w:rsid w:val="001D1150"/>
    <w:rsid w:val="001E1D81"/>
    <w:rsid w:val="001E41C9"/>
    <w:rsid w:val="001E518E"/>
    <w:rsid w:val="001F33B7"/>
    <w:rsid w:val="00206B1D"/>
    <w:rsid w:val="00206C0D"/>
    <w:rsid w:val="00207F1A"/>
    <w:rsid w:val="00210C6A"/>
    <w:rsid w:val="00211186"/>
    <w:rsid w:val="00215199"/>
    <w:rsid w:val="00216A7A"/>
    <w:rsid w:val="00220B28"/>
    <w:rsid w:val="00227EF5"/>
    <w:rsid w:val="00232BD2"/>
    <w:rsid w:val="00233033"/>
    <w:rsid w:val="00236844"/>
    <w:rsid w:val="00263CC6"/>
    <w:rsid w:val="00265B3E"/>
    <w:rsid w:val="00265D78"/>
    <w:rsid w:val="00267199"/>
    <w:rsid w:val="00271F7A"/>
    <w:rsid w:val="00277246"/>
    <w:rsid w:val="002860E0"/>
    <w:rsid w:val="00286BE4"/>
    <w:rsid w:val="002A03F6"/>
    <w:rsid w:val="002A3F9E"/>
    <w:rsid w:val="002A7624"/>
    <w:rsid w:val="002B7B79"/>
    <w:rsid w:val="002C00ED"/>
    <w:rsid w:val="002D6815"/>
    <w:rsid w:val="002D6A35"/>
    <w:rsid w:val="002D77E0"/>
    <w:rsid w:val="002E5A3B"/>
    <w:rsid w:val="002F5FED"/>
    <w:rsid w:val="002F70DE"/>
    <w:rsid w:val="002F79E1"/>
    <w:rsid w:val="00300FC8"/>
    <w:rsid w:val="00312642"/>
    <w:rsid w:val="00324EE0"/>
    <w:rsid w:val="00324FC2"/>
    <w:rsid w:val="00332813"/>
    <w:rsid w:val="00333456"/>
    <w:rsid w:val="00334CAD"/>
    <w:rsid w:val="00341F1E"/>
    <w:rsid w:val="003428D3"/>
    <w:rsid w:val="0034364A"/>
    <w:rsid w:val="00350A5A"/>
    <w:rsid w:val="00356D05"/>
    <w:rsid w:val="00387AC1"/>
    <w:rsid w:val="00396AC6"/>
    <w:rsid w:val="00396C67"/>
    <w:rsid w:val="00397418"/>
    <w:rsid w:val="003B633B"/>
    <w:rsid w:val="003C442A"/>
    <w:rsid w:val="003C65AB"/>
    <w:rsid w:val="003D4034"/>
    <w:rsid w:val="003D7BBC"/>
    <w:rsid w:val="003E18EC"/>
    <w:rsid w:val="003E3181"/>
    <w:rsid w:val="003F028C"/>
    <w:rsid w:val="003F4D93"/>
    <w:rsid w:val="00400074"/>
    <w:rsid w:val="0040424B"/>
    <w:rsid w:val="00405CC1"/>
    <w:rsid w:val="004105C4"/>
    <w:rsid w:val="00411D34"/>
    <w:rsid w:val="00412C64"/>
    <w:rsid w:val="00414C40"/>
    <w:rsid w:val="004156A9"/>
    <w:rsid w:val="00426681"/>
    <w:rsid w:val="0043025A"/>
    <w:rsid w:val="00440443"/>
    <w:rsid w:val="004415BA"/>
    <w:rsid w:val="004446B9"/>
    <w:rsid w:val="00463276"/>
    <w:rsid w:val="00472BC1"/>
    <w:rsid w:val="004775B1"/>
    <w:rsid w:val="00480331"/>
    <w:rsid w:val="00483027"/>
    <w:rsid w:val="00492880"/>
    <w:rsid w:val="00492EA3"/>
    <w:rsid w:val="0049524F"/>
    <w:rsid w:val="004A2320"/>
    <w:rsid w:val="004A2603"/>
    <w:rsid w:val="004A33F3"/>
    <w:rsid w:val="004A46DC"/>
    <w:rsid w:val="004B0070"/>
    <w:rsid w:val="004C0615"/>
    <w:rsid w:val="004C0CB8"/>
    <w:rsid w:val="004C248E"/>
    <w:rsid w:val="004C7C5D"/>
    <w:rsid w:val="004E0B02"/>
    <w:rsid w:val="004E1830"/>
    <w:rsid w:val="004E73B5"/>
    <w:rsid w:val="004F2241"/>
    <w:rsid w:val="005039D3"/>
    <w:rsid w:val="005176C7"/>
    <w:rsid w:val="00523FBD"/>
    <w:rsid w:val="00535677"/>
    <w:rsid w:val="005427B2"/>
    <w:rsid w:val="005521FF"/>
    <w:rsid w:val="00556C1F"/>
    <w:rsid w:val="00564868"/>
    <w:rsid w:val="00572DD0"/>
    <w:rsid w:val="00576C10"/>
    <w:rsid w:val="00583A83"/>
    <w:rsid w:val="005909A6"/>
    <w:rsid w:val="0059326C"/>
    <w:rsid w:val="005A12A5"/>
    <w:rsid w:val="005A770A"/>
    <w:rsid w:val="005A7E56"/>
    <w:rsid w:val="005B40BC"/>
    <w:rsid w:val="005C04D9"/>
    <w:rsid w:val="005C49E5"/>
    <w:rsid w:val="005D3F13"/>
    <w:rsid w:val="005D50EA"/>
    <w:rsid w:val="005E1D15"/>
    <w:rsid w:val="005F2918"/>
    <w:rsid w:val="005F5B33"/>
    <w:rsid w:val="005F730E"/>
    <w:rsid w:val="00620F44"/>
    <w:rsid w:val="00631316"/>
    <w:rsid w:val="00635DEB"/>
    <w:rsid w:val="006424C8"/>
    <w:rsid w:val="00651CCC"/>
    <w:rsid w:val="00654585"/>
    <w:rsid w:val="00673833"/>
    <w:rsid w:val="00673ABD"/>
    <w:rsid w:val="00675DD1"/>
    <w:rsid w:val="006A7932"/>
    <w:rsid w:val="006A7FD7"/>
    <w:rsid w:val="006B6971"/>
    <w:rsid w:val="006B7E84"/>
    <w:rsid w:val="006C24F5"/>
    <w:rsid w:val="006C716F"/>
    <w:rsid w:val="006D15AE"/>
    <w:rsid w:val="006D6282"/>
    <w:rsid w:val="006D7248"/>
    <w:rsid w:val="006E7A3A"/>
    <w:rsid w:val="006F2784"/>
    <w:rsid w:val="006F7799"/>
    <w:rsid w:val="00703A60"/>
    <w:rsid w:val="00726A6E"/>
    <w:rsid w:val="00732692"/>
    <w:rsid w:val="007428A8"/>
    <w:rsid w:val="00751324"/>
    <w:rsid w:val="00761189"/>
    <w:rsid w:val="007611DB"/>
    <w:rsid w:val="0076478E"/>
    <w:rsid w:val="00772A6F"/>
    <w:rsid w:val="00772EBA"/>
    <w:rsid w:val="007832EE"/>
    <w:rsid w:val="00784F41"/>
    <w:rsid w:val="007853D5"/>
    <w:rsid w:val="0079019D"/>
    <w:rsid w:val="00791C17"/>
    <w:rsid w:val="007966D5"/>
    <w:rsid w:val="007A179C"/>
    <w:rsid w:val="007A22D9"/>
    <w:rsid w:val="007A6A8A"/>
    <w:rsid w:val="007B7929"/>
    <w:rsid w:val="007C3BBE"/>
    <w:rsid w:val="007C554F"/>
    <w:rsid w:val="007C565F"/>
    <w:rsid w:val="007C79A9"/>
    <w:rsid w:val="007D04D5"/>
    <w:rsid w:val="007E42B8"/>
    <w:rsid w:val="007F0527"/>
    <w:rsid w:val="00803BA3"/>
    <w:rsid w:val="008116D8"/>
    <w:rsid w:val="00821B8B"/>
    <w:rsid w:val="008270EB"/>
    <w:rsid w:val="00830CA8"/>
    <w:rsid w:val="0083366E"/>
    <w:rsid w:val="00833FDA"/>
    <w:rsid w:val="008340EE"/>
    <w:rsid w:val="0083574D"/>
    <w:rsid w:val="0083616F"/>
    <w:rsid w:val="00836990"/>
    <w:rsid w:val="008401BC"/>
    <w:rsid w:val="00840356"/>
    <w:rsid w:val="008409A4"/>
    <w:rsid w:val="00841463"/>
    <w:rsid w:val="00847573"/>
    <w:rsid w:val="00854C46"/>
    <w:rsid w:val="0086613D"/>
    <w:rsid w:val="00875D53"/>
    <w:rsid w:val="00892433"/>
    <w:rsid w:val="0089621E"/>
    <w:rsid w:val="008963F4"/>
    <w:rsid w:val="008A0A00"/>
    <w:rsid w:val="008A5C07"/>
    <w:rsid w:val="008A5D42"/>
    <w:rsid w:val="008B0B93"/>
    <w:rsid w:val="008B753A"/>
    <w:rsid w:val="008D1414"/>
    <w:rsid w:val="008D2214"/>
    <w:rsid w:val="008E08A1"/>
    <w:rsid w:val="008E38F0"/>
    <w:rsid w:val="008E4205"/>
    <w:rsid w:val="008E607E"/>
    <w:rsid w:val="008E66F4"/>
    <w:rsid w:val="008F2586"/>
    <w:rsid w:val="008F31CA"/>
    <w:rsid w:val="008F7085"/>
    <w:rsid w:val="009121FE"/>
    <w:rsid w:val="00921957"/>
    <w:rsid w:val="00930307"/>
    <w:rsid w:val="00930784"/>
    <w:rsid w:val="00935ABD"/>
    <w:rsid w:val="00952071"/>
    <w:rsid w:val="00953549"/>
    <w:rsid w:val="009539D7"/>
    <w:rsid w:val="00960D2A"/>
    <w:rsid w:val="0096565E"/>
    <w:rsid w:val="00966D46"/>
    <w:rsid w:val="00972CD5"/>
    <w:rsid w:val="0097521E"/>
    <w:rsid w:val="00984A0B"/>
    <w:rsid w:val="00986C6A"/>
    <w:rsid w:val="00992E09"/>
    <w:rsid w:val="009A16AC"/>
    <w:rsid w:val="009A18FE"/>
    <w:rsid w:val="009A5FC5"/>
    <w:rsid w:val="009B2D13"/>
    <w:rsid w:val="009C4294"/>
    <w:rsid w:val="009C457E"/>
    <w:rsid w:val="009D6851"/>
    <w:rsid w:val="009F0BF2"/>
    <w:rsid w:val="009F2990"/>
    <w:rsid w:val="009F71E5"/>
    <w:rsid w:val="009F7493"/>
    <w:rsid w:val="00A02432"/>
    <w:rsid w:val="00A068A1"/>
    <w:rsid w:val="00A1401B"/>
    <w:rsid w:val="00A17200"/>
    <w:rsid w:val="00A20583"/>
    <w:rsid w:val="00A24D7E"/>
    <w:rsid w:val="00A260B4"/>
    <w:rsid w:val="00A30856"/>
    <w:rsid w:val="00A42CC3"/>
    <w:rsid w:val="00A50C96"/>
    <w:rsid w:val="00A515FF"/>
    <w:rsid w:val="00A54D36"/>
    <w:rsid w:val="00A552B7"/>
    <w:rsid w:val="00A64E6E"/>
    <w:rsid w:val="00A77DFD"/>
    <w:rsid w:val="00A815D4"/>
    <w:rsid w:val="00A84DD7"/>
    <w:rsid w:val="00AB2841"/>
    <w:rsid w:val="00AB2E34"/>
    <w:rsid w:val="00AB36E8"/>
    <w:rsid w:val="00AC119F"/>
    <w:rsid w:val="00AC1921"/>
    <w:rsid w:val="00AC4AED"/>
    <w:rsid w:val="00AC718B"/>
    <w:rsid w:val="00AD6387"/>
    <w:rsid w:val="00AE3A5C"/>
    <w:rsid w:val="00AF30EA"/>
    <w:rsid w:val="00AF7C6D"/>
    <w:rsid w:val="00B04035"/>
    <w:rsid w:val="00B1071D"/>
    <w:rsid w:val="00B13443"/>
    <w:rsid w:val="00B163F5"/>
    <w:rsid w:val="00B24613"/>
    <w:rsid w:val="00B36290"/>
    <w:rsid w:val="00B3767B"/>
    <w:rsid w:val="00B4630C"/>
    <w:rsid w:val="00B47DFA"/>
    <w:rsid w:val="00B516F6"/>
    <w:rsid w:val="00B527DB"/>
    <w:rsid w:val="00B528F8"/>
    <w:rsid w:val="00B56AD6"/>
    <w:rsid w:val="00B60DEF"/>
    <w:rsid w:val="00B623C1"/>
    <w:rsid w:val="00B74B33"/>
    <w:rsid w:val="00B75FA5"/>
    <w:rsid w:val="00B807CE"/>
    <w:rsid w:val="00B80B57"/>
    <w:rsid w:val="00B8628A"/>
    <w:rsid w:val="00B869E5"/>
    <w:rsid w:val="00B96951"/>
    <w:rsid w:val="00BA2981"/>
    <w:rsid w:val="00BA6603"/>
    <w:rsid w:val="00BB334C"/>
    <w:rsid w:val="00BB3529"/>
    <w:rsid w:val="00BB6367"/>
    <w:rsid w:val="00BD27C7"/>
    <w:rsid w:val="00BE306E"/>
    <w:rsid w:val="00BE6F14"/>
    <w:rsid w:val="00BF38A1"/>
    <w:rsid w:val="00C0799D"/>
    <w:rsid w:val="00C25A61"/>
    <w:rsid w:val="00C269B1"/>
    <w:rsid w:val="00C269F3"/>
    <w:rsid w:val="00C27C18"/>
    <w:rsid w:val="00C315E6"/>
    <w:rsid w:val="00C404C7"/>
    <w:rsid w:val="00C519C1"/>
    <w:rsid w:val="00C51D97"/>
    <w:rsid w:val="00C63375"/>
    <w:rsid w:val="00C6684C"/>
    <w:rsid w:val="00C72996"/>
    <w:rsid w:val="00C76EDB"/>
    <w:rsid w:val="00C810A7"/>
    <w:rsid w:val="00C85C50"/>
    <w:rsid w:val="00C92138"/>
    <w:rsid w:val="00CA3C15"/>
    <w:rsid w:val="00CB530F"/>
    <w:rsid w:val="00CB6C5B"/>
    <w:rsid w:val="00CD00D4"/>
    <w:rsid w:val="00CD0481"/>
    <w:rsid w:val="00CD1133"/>
    <w:rsid w:val="00CD3743"/>
    <w:rsid w:val="00CE1B5F"/>
    <w:rsid w:val="00CE47AF"/>
    <w:rsid w:val="00CE63D6"/>
    <w:rsid w:val="00CF68FC"/>
    <w:rsid w:val="00D05146"/>
    <w:rsid w:val="00D10385"/>
    <w:rsid w:val="00D169FD"/>
    <w:rsid w:val="00D229F0"/>
    <w:rsid w:val="00D23AAC"/>
    <w:rsid w:val="00D327E9"/>
    <w:rsid w:val="00D36613"/>
    <w:rsid w:val="00D4010F"/>
    <w:rsid w:val="00D40F2D"/>
    <w:rsid w:val="00D41E09"/>
    <w:rsid w:val="00D42293"/>
    <w:rsid w:val="00D65907"/>
    <w:rsid w:val="00D71D1A"/>
    <w:rsid w:val="00D8356E"/>
    <w:rsid w:val="00D8479C"/>
    <w:rsid w:val="00D87E6E"/>
    <w:rsid w:val="00D90067"/>
    <w:rsid w:val="00D90C57"/>
    <w:rsid w:val="00DA0481"/>
    <w:rsid w:val="00DB3E45"/>
    <w:rsid w:val="00DB5BFC"/>
    <w:rsid w:val="00DB6DD1"/>
    <w:rsid w:val="00DF1173"/>
    <w:rsid w:val="00DF45E7"/>
    <w:rsid w:val="00DF63AC"/>
    <w:rsid w:val="00E009B3"/>
    <w:rsid w:val="00E01383"/>
    <w:rsid w:val="00E02681"/>
    <w:rsid w:val="00E059A2"/>
    <w:rsid w:val="00E10AB7"/>
    <w:rsid w:val="00E11EDF"/>
    <w:rsid w:val="00E140A2"/>
    <w:rsid w:val="00E24EFB"/>
    <w:rsid w:val="00E2632B"/>
    <w:rsid w:val="00E26B2B"/>
    <w:rsid w:val="00E307B9"/>
    <w:rsid w:val="00E342DC"/>
    <w:rsid w:val="00E35B5E"/>
    <w:rsid w:val="00E42411"/>
    <w:rsid w:val="00E426C9"/>
    <w:rsid w:val="00E479A7"/>
    <w:rsid w:val="00E510D7"/>
    <w:rsid w:val="00E5148D"/>
    <w:rsid w:val="00E51A56"/>
    <w:rsid w:val="00E53232"/>
    <w:rsid w:val="00E546B8"/>
    <w:rsid w:val="00E56767"/>
    <w:rsid w:val="00E60FFE"/>
    <w:rsid w:val="00E62150"/>
    <w:rsid w:val="00E66134"/>
    <w:rsid w:val="00E7021A"/>
    <w:rsid w:val="00E941FF"/>
    <w:rsid w:val="00EA0749"/>
    <w:rsid w:val="00EB2522"/>
    <w:rsid w:val="00EC0BFD"/>
    <w:rsid w:val="00EC5A6F"/>
    <w:rsid w:val="00EC78A0"/>
    <w:rsid w:val="00EC79BF"/>
    <w:rsid w:val="00ED0DBF"/>
    <w:rsid w:val="00ED12CA"/>
    <w:rsid w:val="00ED3BC7"/>
    <w:rsid w:val="00EE1D17"/>
    <w:rsid w:val="00EE623F"/>
    <w:rsid w:val="00F039FD"/>
    <w:rsid w:val="00F03C5D"/>
    <w:rsid w:val="00F07965"/>
    <w:rsid w:val="00F143A4"/>
    <w:rsid w:val="00F15099"/>
    <w:rsid w:val="00F33025"/>
    <w:rsid w:val="00F5533F"/>
    <w:rsid w:val="00F623B7"/>
    <w:rsid w:val="00F70672"/>
    <w:rsid w:val="00F719DC"/>
    <w:rsid w:val="00F72164"/>
    <w:rsid w:val="00F75D3C"/>
    <w:rsid w:val="00F8033A"/>
    <w:rsid w:val="00F803AC"/>
    <w:rsid w:val="00F84995"/>
    <w:rsid w:val="00F85C96"/>
    <w:rsid w:val="00F87B6F"/>
    <w:rsid w:val="00F964F6"/>
    <w:rsid w:val="00F9656A"/>
    <w:rsid w:val="00FA12B0"/>
    <w:rsid w:val="00FA5DB2"/>
    <w:rsid w:val="00FD0220"/>
    <w:rsid w:val="00FD1B32"/>
    <w:rsid w:val="00FD2B34"/>
    <w:rsid w:val="00FF54A1"/>
    <w:rsid w:val="03256A26"/>
    <w:rsid w:val="0DF54286"/>
    <w:rsid w:val="16E70B79"/>
    <w:rsid w:val="35EF6A31"/>
    <w:rsid w:val="550D5B18"/>
    <w:rsid w:val="731857B4"/>
    <w:rsid w:val="73BF7D44"/>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仿宋_GB2312"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仿宋_GB2312" w:hAnsi="仿宋_GB2312" w:eastAsia="仿宋_GB2312" w:cs="Times New Roman"/>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link w:val="8"/>
    <w:unhideWhenUsed/>
    <w:qFormat/>
    <w:uiPriority w:val="0"/>
    <w:pPr>
      <w:tabs>
        <w:tab w:val="center" w:pos="4153"/>
        <w:tab w:val="right" w:pos="8306"/>
      </w:tabs>
      <w:snapToGrid w:val="0"/>
    </w:pPr>
    <w:rPr>
      <w:rFonts w:hint="eastAsia" w:ascii="仿宋_GB2312" w:hAnsi="仿宋_GB2312" w:eastAsia="仿宋_GB2312" w:cs="Times New Roman"/>
      <w:sz w:val="18"/>
      <w:szCs w:val="18"/>
      <w:lang w:val="en-US" w:eastAsia="zh-CN" w:bidi="ar-SA"/>
    </w:rPr>
  </w:style>
  <w:style w:type="paragraph" w:styleId="4">
    <w:name w:val="header"/>
    <w:link w:val="7"/>
    <w:unhideWhenUsed/>
    <w:qFormat/>
    <w:uiPriority w:val="99"/>
    <w:pPr>
      <w:pBdr>
        <w:bottom w:val="single" w:color="auto" w:sz="6" w:space="1"/>
      </w:pBdr>
      <w:tabs>
        <w:tab w:val="center" w:pos="4153"/>
        <w:tab w:val="right" w:pos="8306"/>
      </w:tabs>
      <w:snapToGrid w:val="0"/>
      <w:jc w:val="center"/>
    </w:pPr>
    <w:rPr>
      <w:rFonts w:hint="eastAsia" w:ascii="仿宋_GB2312" w:hAnsi="仿宋_GB2312" w:eastAsia="仿宋_GB2312" w:cs="Times New Roman"/>
      <w:sz w:val="18"/>
      <w:szCs w:val="18"/>
      <w:lang w:val="en-US" w:eastAsia="zh-CN" w:bidi="ar-SA"/>
    </w:rPr>
  </w:style>
  <w:style w:type="character" w:customStyle="1" w:styleId="7">
    <w:name w:val="页眉 Char"/>
    <w:link w:val="4"/>
    <w:qFormat/>
    <w:uiPriority w:val="99"/>
    <w:rPr>
      <w:sz w:val="18"/>
      <w:szCs w:val="18"/>
    </w:rPr>
  </w:style>
  <w:style w:type="character" w:customStyle="1" w:styleId="8">
    <w:name w:val="页脚 Char"/>
    <w:link w:val="3"/>
    <w:qFormat/>
    <w:uiPriority w:val="0"/>
    <w:rPr>
      <w:sz w:val="18"/>
      <w:szCs w:val="18"/>
    </w:rPr>
  </w:style>
  <w:style w:type="character" w:customStyle="1" w:styleId="9">
    <w:name w:val="批注框文本 Char"/>
    <w:basedOn w:val="6"/>
    <w:link w:val="2"/>
    <w:semiHidden/>
    <w:uiPriority w:val="99"/>
    <w:rPr>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1586</Words>
  <Characters>1682</Characters>
  <Lines>73</Lines>
  <Paragraphs>38</Paragraphs>
  <TotalTime>24</TotalTime>
  <ScaleCrop>false</ScaleCrop>
  <LinksUpToDate>false</LinksUpToDate>
  <CharactersWithSpaces>3230</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2022-10-17T09:05:00Z</dcterms:created>
  <dc:creator>NTKO</dc:creator>
  <cp:lastModifiedBy>NTKO</cp:lastModifiedBy>
  <cp:lastPrinted>2022-10-10T01:23:00Z</cp:lastPrinted>
  <dcterms:modified xsi:type="dcterms:W3CDTF">2022-12-05T08:54:17Z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EF8445CD74FD416F82D839833E22BEC3</vt:lpwstr>
  </property>
</Properties>
</file>