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1EB" w:rsidRDefault="00CF21EB" w:rsidP="00CF21EB">
      <w:pPr>
        <w:jc w:val="center"/>
        <w:rPr>
          <w:rFonts w:ascii="仿宋" w:eastAsia="仿宋" w:hAnsi="仿宋"/>
          <w:b/>
          <w:noProof/>
          <w:color w:val="000000"/>
          <w:sz w:val="44"/>
          <w:szCs w:val="44"/>
          <w:shd w:val="clear" w:color="auto" w:fill="FFFFFF"/>
        </w:rPr>
      </w:pPr>
      <w:r>
        <w:rPr>
          <w:rFonts w:ascii="仿宋" w:eastAsia="仿宋" w:hAnsi="仿宋"/>
          <w:b/>
          <w:noProof/>
          <w:color w:val="000000"/>
          <w:sz w:val="44"/>
          <w:szCs w:val="44"/>
          <w:shd w:val="clear" w:color="auto" w:fill="FFFFFF"/>
        </w:rPr>
        <w:drawing>
          <wp:inline distT="0" distB="0" distL="0" distR="0">
            <wp:extent cx="2428875" cy="2619375"/>
            <wp:effectExtent l="0" t="0" r="0" b="0"/>
            <wp:docPr id="1" name="图片 0" descr="法徽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法徽1.png"/>
                    <pic:cNvPicPr>
                      <a:picLocks noChangeAspect="1" noChangeArrowheads="1"/>
                    </pic:cNvPicPr>
                  </pic:nvPicPr>
                  <pic:blipFill>
                    <a:blip r:embed="rId8" cstate="print"/>
                    <a:srcRect/>
                    <a:stretch>
                      <a:fillRect/>
                    </a:stretch>
                  </pic:blipFill>
                  <pic:spPr bwMode="auto">
                    <a:xfrm>
                      <a:off x="0" y="0"/>
                      <a:ext cx="2428875" cy="2619375"/>
                    </a:xfrm>
                    <a:prstGeom prst="rect">
                      <a:avLst/>
                    </a:prstGeom>
                    <a:noFill/>
                    <a:ln w="9525">
                      <a:noFill/>
                      <a:miter lim="800000"/>
                      <a:headEnd/>
                      <a:tailEnd/>
                    </a:ln>
                  </pic:spPr>
                </pic:pic>
              </a:graphicData>
            </a:graphic>
          </wp:inline>
        </w:drawing>
      </w:r>
    </w:p>
    <w:p w:rsidR="00CF21EB" w:rsidRPr="00CF21EB" w:rsidRDefault="00CF21EB" w:rsidP="00CF21EB">
      <w:pPr>
        <w:jc w:val="center"/>
        <w:rPr>
          <w:rFonts w:ascii="方正小标宋简体" w:eastAsia="方正小标宋简体" w:hAnsi="宋体"/>
          <w:sz w:val="72"/>
          <w:szCs w:val="72"/>
        </w:rPr>
      </w:pPr>
      <w:r w:rsidRPr="00CF21EB">
        <w:rPr>
          <w:rFonts w:ascii="方正小标宋简体" w:eastAsia="方正小标宋简体" w:hAnsi="宋体" w:hint="eastAsia"/>
          <w:sz w:val="72"/>
          <w:szCs w:val="72"/>
        </w:rPr>
        <w:t>执行异议与执行异议之诉</w:t>
      </w:r>
    </w:p>
    <w:p w:rsidR="00CF21EB" w:rsidRPr="00CF21EB" w:rsidRDefault="00CF21EB" w:rsidP="00CF21EB">
      <w:pPr>
        <w:jc w:val="center"/>
        <w:rPr>
          <w:rFonts w:ascii="方正小标宋简体" w:eastAsia="方正小标宋简体" w:hAnsi="宋体"/>
          <w:sz w:val="72"/>
          <w:szCs w:val="72"/>
        </w:rPr>
      </w:pPr>
      <w:r w:rsidRPr="00CF21EB">
        <w:rPr>
          <w:rFonts w:ascii="方正小标宋简体" w:eastAsia="方正小标宋简体" w:hAnsi="宋体" w:hint="eastAsia"/>
          <w:sz w:val="72"/>
          <w:szCs w:val="72"/>
        </w:rPr>
        <w:t>第三人撤销之诉</w:t>
      </w:r>
    </w:p>
    <w:p w:rsidR="00CF21EB" w:rsidRPr="00CF21EB" w:rsidRDefault="00CF21EB" w:rsidP="00CF21EB">
      <w:pPr>
        <w:jc w:val="center"/>
        <w:rPr>
          <w:rFonts w:ascii="方正小标宋简体" w:eastAsia="方正小标宋简体" w:hAnsi="宋体"/>
          <w:sz w:val="72"/>
          <w:szCs w:val="72"/>
        </w:rPr>
      </w:pPr>
      <w:r w:rsidRPr="00CF21EB">
        <w:rPr>
          <w:rFonts w:ascii="方正小标宋简体" w:eastAsia="方正小标宋简体" w:hAnsi="宋体" w:hint="eastAsia"/>
          <w:sz w:val="72"/>
          <w:szCs w:val="72"/>
        </w:rPr>
        <w:t>审判白皮书</w:t>
      </w:r>
    </w:p>
    <w:p w:rsidR="00CF21EB" w:rsidRPr="00CF21EB" w:rsidRDefault="00CF21EB" w:rsidP="00CF21EB">
      <w:pPr>
        <w:jc w:val="center"/>
        <w:rPr>
          <w:rFonts w:asciiTheme="minorEastAsia" w:eastAsiaTheme="minorEastAsia" w:hAnsiTheme="minorEastAsia"/>
          <w:color w:val="000000"/>
          <w:sz w:val="44"/>
          <w:szCs w:val="44"/>
          <w:shd w:val="clear" w:color="auto" w:fill="FFFFFF"/>
        </w:rPr>
      </w:pPr>
      <w:r w:rsidRPr="00CF21EB">
        <w:rPr>
          <w:rFonts w:asciiTheme="minorEastAsia" w:eastAsiaTheme="minorEastAsia" w:hAnsiTheme="minorEastAsia" w:hint="eastAsia"/>
          <w:sz w:val="44"/>
          <w:szCs w:val="44"/>
        </w:rPr>
        <w:t>（2017年--2019年）</w:t>
      </w:r>
    </w:p>
    <w:p w:rsidR="00CF21EB" w:rsidRDefault="00CF21EB" w:rsidP="00CF21EB">
      <w:pPr>
        <w:ind w:firstLineChars="200" w:firstLine="640"/>
        <w:jc w:val="center"/>
        <w:rPr>
          <w:rFonts w:ascii="仿宋" w:eastAsia="仿宋" w:hAnsi="仿宋"/>
          <w:color w:val="000000"/>
          <w:sz w:val="32"/>
          <w:szCs w:val="32"/>
          <w:shd w:val="clear" w:color="auto" w:fill="FFFFFF"/>
        </w:rPr>
      </w:pPr>
    </w:p>
    <w:p w:rsidR="00CF21EB" w:rsidRDefault="00CF21EB" w:rsidP="00CF21EB">
      <w:pPr>
        <w:ind w:firstLineChars="200"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 xml:space="preserve"> </w:t>
      </w:r>
    </w:p>
    <w:p w:rsidR="00CF21EB" w:rsidRDefault="00CF21EB" w:rsidP="00CF21EB">
      <w:pPr>
        <w:ind w:firstLineChars="200"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 xml:space="preserve"> </w:t>
      </w:r>
    </w:p>
    <w:p w:rsidR="00CF21EB" w:rsidRDefault="00CF21EB" w:rsidP="00CF21EB">
      <w:pPr>
        <w:ind w:firstLineChars="200" w:firstLine="640"/>
        <w:rPr>
          <w:rFonts w:ascii="仿宋" w:eastAsia="仿宋" w:hAnsi="仿宋"/>
          <w:color w:val="000000"/>
          <w:sz w:val="32"/>
          <w:szCs w:val="32"/>
          <w:shd w:val="clear" w:color="auto" w:fill="FFFFFF"/>
        </w:rPr>
      </w:pPr>
    </w:p>
    <w:p w:rsidR="00CF21EB" w:rsidRDefault="00CF21EB" w:rsidP="00CF21EB">
      <w:pPr>
        <w:ind w:firstLineChars="200"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 xml:space="preserve"> </w:t>
      </w:r>
    </w:p>
    <w:p w:rsidR="00CF21EB" w:rsidRDefault="00CF21EB" w:rsidP="00CF21EB">
      <w:pPr>
        <w:ind w:firstLineChars="200" w:firstLine="640"/>
        <w:rPr>
          <w:rFonts w:ascii="仿宋" w:eastAsia="仿宋" w:hAnsi="仿宋"/>
          <w:color w:val="000000"/>
          <w:sz w:val="32"/>
          <w:szCs w:val="32"/>
          <w:shd w:val="clear" w:color="auto" w:fill="FFFFFF"/>
        </w:rPr>
      </w:pPr>
    </w:p>
    <w:p w:rsidR="00CF21EB" w:rsidRPr="00CF21EB" w:rsidRDefault="00CF21EB" w:rsidP="00CF21EB">
      <w:pPr>
        <w:spacing w:line="560" w:lineRule="exact"/>
        <w:jc w:val="center"/>
        <w:rPr>
          <w:rFonts w:asciiTheme="minorEastAsia" w:eastAsiaTheme="minorEastAsia" w:hAnsiTheme="minorEastAsia"/>
          <w:sz w:val="44"/>
          <w:szCs w:val="44"/>
        </w:rPr>
      </w:pPr>
      <w:r w:rsidRPr="00CF21EB">
        <w:rPr>
          <w:rFonts w:asciiTheme="minorEastAsia" w:eastAsiaTheme="minorEastAsia" w:hAnsiTheme="minorEastAsia" w:hint="eastAsia"/>
          <w:sz w:val="44"/>
          <w:szCs w:val="44"/>
        </w:rPr>
        <w:t>青岛市中级人民法院</w:t>
      </w:r>
    </w:p>
    <w:p w:rsidR="00CF21EB" w:rsidRPr="00CF21EB" w:rsidRDefault="00CF21EB" w:rsidP="00CF21EB">
      <w:pPr>
        <w:jc w:val="center"/>
        <w:rPr>
          <w:rFonts w:asciiTheme="minorEastAsia" w:eastAsiaTheme="minorEastAsia" w:hAnsiTheme="minorEastAsia"/>
          <w:color w:val="000000"/>
          <w:sz w:val="44"/>
          <w:szCs w:val="44"/>
          <w:shd w:val="clear" w:color="auto" w:fill="FFFFFF"/>
        </w:rPr>
      </w:pPr>
      <w:r w:rsidRPr="00CF21EB">
        <w:rPr>
          <w:rFonts w:asciiTheme="minorEastAsia" w:eastAsiaTheme="minorEastAsia" w:hAnsiTheme="minorEastAsia" w:hint="eastAsia"/>
          <w:sz w:val="44"/>
          <w:szCs w:val="44"/>
        </w:rPr>
        <w:t>二〇</w:t>
      </w:r>
      <w:r w:rsidR="003B4B7B">
        <w:rPr>
          <w:rFonts w:asciiTheme="minorEastAsia" w:eastAsiaTheme="minorEastAsia" w:hAnsiTheme="minorEastAsia" w:hint="eastAsia"/>
          <w:sz w:val="44"/>
          <w:szCs w:val="44"/>
        </w:rPr>
        <w:t>二</w:t>
      </w:r>
      <w:r w:rsidR="003B4B7B" w:rsidRPr="00CF21EB">
        <w:rPr>
          <w:rFonts w:asciiTheme="minorEastAsia" w:eastAsiaTheme="minorEastAsia" w:hAnsiTheme="minorEastAsia" w:hint="eastAsia"/>
          <w:sz w:val="44"/>
          <w:szCs w:val="44"/>
        </w:rPr>
        <w:t>〇</w:t>
      </w:r>
      <w:r w:rsidRPr="00CF21EB">
        <w:rPr>
          <w:rFonts w:asciiTheme="minorEastAsia" w:eastAsiaTheme="minorEastAsia" w:hAnsiTheme="minorEastAsia" w:hint="eastAsia"/>
          <w:sz w:val="44"/>
          <w:szCs w:val="44"/>
        </w:rPr>
        <w:t>年</w:t>
      </w:r>
      <w:r w:rsidR="003B4B7B">
        <w:rPr>
          <w:rFonts w:asciiTheme="minorEastAsia" w:eastAsiaTheme="minorEastAsia" w:hAnsiTheme="minorEastAsia" w:hint="eastAsia"/>
          <w:sz w:val="44"/>
          <w:szCs w:val="44"/>
        </w:rPr>
        <w:t>四</w:t>
      </w:r>
      <w:r w:rsidRPr="00CF21EB">
        <w:rPr>
          <w:rFonts w:asciiTheme="minorEastAsia" w:eastAsiaTheme="minorEastAsia" w:hAnsiTheme="minorEastAsia" w:hint="eastAsia"/>
          <w:sz w:val="44"/>
          <w:szCs w:val="44"/>
        </w:rPr>
        <w:t>月</w:t>
      </w:r>
    </w:p>
    <w:p w:rsidR="00E74E54" w:rsidRDefault="00E74E54" w:rsidP="00E07526">
      <w:pPr>
        <w:spacing w:line="560" w:lineRule="exact"/>
        <w:jc w:val="center"/>
        <w:rPr>
          <w:rFonts w:ascii="方正小标宋简体" w:eastAsia="方正小标宋简体" w:hAnsi="宋体"/>
          <w:sz w:val="40"/>
          <w:szCs w:val="32"/>
        </w:rPr>
      </w:pPr>
      <w:r>
        <w:rPr>
          <w:rFonts w:ascii="方正小标宋简体" w:eastAsia="方正小标宋简体" w:hAnsi="宋体" w:hint="eastAsia"/>
          <w:sz w:val="40"/>
          <w:szCs w:val="32"/>
        </w:rPr>
        <w:lastRenderedPageBreak/>
        <w:t>青岛市中级人民法院</w:t>
      </w:r>
    </w:p>
    <w:p w:rsidR="00E07526" w:rsidRPr="00065F52" w:rsidRDefault="00E07526" w:rsidP="00FC5571">
      <w:pPr>
        <w:spacing w:line="560" w:lineRule="exact"/>
        <w:jc w:val="center"/>
        <w:rPr>
          <w:rFonts w:ascii="方正小标宋简体" w:eastAsia="方正小标宋简体" w:hAnsi="宋体"/>
          <w:sz w:val="40"/>
          <w:szCs w:val="32"/>
        </w:rPr>
      </w:pPr>
      <w:r w:rsidRPr="00065F52">
        <w:rPr>
          <w:rFonts w:ascii="方正小标宋简体" w:eastAsia="方正小标宋简体" w:hAnsi="宋体" w:hint="eastAsia"/>
          <w:sz w:val="40"/>
          <w:szCs w:val="32"/>
        </w:rPr>
        <w:t>执行异议与执行异议之诉审判白皮书</w:t>
      </w:r>
    </w:p>
    <w:p w:rsidR="006B7F21" w:rsidRPr="00065F52" w:rsidRDefault="006B7F21" w:rsidP="006B7F21">
      <w:pPr>
        <w:rPr>
          <w:rFonts w:ascii="宋体" w:hAnsi="宋体"/>
          <w:sz w:val="32"/>
          <w:szCs w:val="32"/>
        </w:rPr>
      </w:pPr>
    </w:p>
    <w:p w:rsidR="006B7F21" w:rsidRPr="00065F52" w:rsidRDefault="006B7F21" w:rsidP="006B7F21">
      <w:pPr>
        <w:spacing w:line="560" w:lineRule="exact"/>
        <w:ind w:firstLine="420"/>
        <w:jc w:val="center"/>
        <w:rPr>
          <w:rFonts w:ascii="仿宋_GB2312" w:eastAsia="仿宋_GB2312" w:hAnsi="宋体"/>
          <w:sz w:val="32"/>
          <w:szCs w:val="32"/>
        </w:rPr>
      </w:pPr>
      <w:r w:rsidRPr="00065F52">
        <w:rPr>
          <w:rFonts w:ascii="仿宋_GB2312" w:eastAsia="仿宋_GB2312" w:hAnsi="宋体" w:hint="eastAsia"/>
          <w:sz w:val="32"/>
          <w:szCs w:val="32"/>
        </w:rPr>
        <w:t>目  录</w:t>
      </w:r>
    </w:p>
    <w:p w:rsidR="006B7F21" w:rsidRPr="00065F52" w:rsidRDefault="006B7F21" w:rsidP="006B7F21">
      <w:pPr>
        <w:spacing w:line="560" w:lineRule="exact"/>
        <w:ind w:firstLine="420"/>
        <w:jc w:val="left"/>
        <w:rPr>
          <w:rFonts w:ascii="仿宋_GB2312" w:eastAsia="仿宋_GB2312" w:hAnsi="宋体"/>
          <w:sz w:val="32"/>
          <w:szCs w:val="32"/>
        </w:rPr>
      </w:pPr>
      <w:r w:rsidRPr="00065F52">
        <w:rPr>
          <w:rFonts w:ascii="仿宋_GB2312" w:eastAsia="仿宋_GB2312" w:hAnsi="宋体" w:hint="eastAsia"/>
          <w:sz w:val="32"/>
          <w:szCs w:val="32"/>
        </w:rPr>
        <w:t>一、前言</w:t>
      </w:r>
      <w:r w:rsidRPr="00065F52">
        <w:rPr>
          <w:rFonts w:ascii="仿宋_GB2312" w:eastAsia="仿宋_GB2312" w:hAnsi="宋体" w:hint="eastAsia"/>
          <w:sz w:val="32"/>
          <w:szCs w:val="32"/>
        </w:rPr>
        <w:tab/>
      </w:r>
    </w:p>
    <w:p w:rsidR="006B7F21" w:rsidRPr="00065F52" w:rsidRDefault="006B7F21" w:rsidP="006B7F21">
      <w:pPr>
        <w:spacing w:line="560" w:lineRule="exact"/>
        <w:ind w:firstLine="420"/>
        <w:jc w:val="left"/>
        <w:rPr>
          <w:rFonts w:ascii="仿宋_GB2312" w:eastAsia="仿宋_GB2312" w:hAnsi="宋体"/>
          <w:sz w:val="32"/>
          <w:szCs w:val="32"/>
        </w:rPr>
      </w:pPr>
      <w:r w:rsidRPr="00065F52">
        <w:rPr>
          <w:rFonts w:ascii="仿宋_GB2312" w:eastAsia="仿宋_GB2312" w:hAnsi="宋体" w:hint="eastAsia"/>
          <w:sz w:val="32"/>
          <w:szCs w:val="32"/>
        </w:rPr>
        <w:t>二、执行异议与执行异议之</w:t>
      </w:r>
      <w:proofErr w:type="gramStart"/>
      <w:r w:rsidRPr="00065F52">
        <w:rPr>
          <w:rFonts w:ascii="仿宋_GB2312" w:eastAsia="仿宋_GB2312" w:hAnsi="宋体" w:hint="eastAsia"/>
          <w:sz w:val="32"/>
          <w:szCs w:val="32"/>
        </w:rPr>
        <w:t>诉基本</w:t>
      </w:r>
      <w:proofErr w:type="gramEnd"/>
      <w:r w:rsidRPr="00065F52">
        <w:rPr>
          <w:rFonts w:ascii="仿宋_GB2312" w:eastAsia="仿宋_GB2312" w:hAnsi="宋体" w:hint="eastAsia"/>
          <w:sz w:val="32"/>
          <w:szCs w:val="32"/>
        </w:rPr>
        <w:t>概况</w:t>
      </w:r>
    </w:p>
    <w:p w:rsidR="006B7F21" w:rsidRPr="00065F52" w:rsidRDefault="006B7F21" w:rsidP="006B7F21">
      <w:pPr>
        <w:spacing w:line="560" w:lineRule="exact"/>
        <w:ind w:firstLine="420"/>
        <w:jc w:val="left"/>
        <w:rPr>
          <w:rFonts w:ascii="仿宋_GB2312" w:eastAsia="仿宋_GB2312" w:hAnsi="宋体"/>
          <w:sz w:val="32"/>
          <w:szCs w:val="32"/>
        </w:rPr>
      </w:pPr>
      <w:r w:rsidRPr="00065F52">
        <w:rPr>
          <w:rFonts w:ascii="仿宋_GB2312" w:eastAsia="仿宋_GB2312" w:hAnsi="宋体" w:hint="eastAsia"/>
          <w:sz w:val="32"/>
          <w:szCs w:val="32"/>
        </w:rPr>
        <w:t>（一）执行异议的类型、特点及审查原则</w:t>
      </w:r>
      <w:r w:rsidRPr="00065F52">
        <w:rPr>
          <w:rFonts w:ascii="仿宋_GB2312" w:eastAsia="仿宋_GB2312" w:hAnsi="宋体" w:hint="eastAsia"/>
          <w:sz w:val="32"/>
          <w:szCs w:val="32"/>
        </w:rPr>
        <w:tab/>
      </w:r>
    </w:p>
    <w:p w:rsidR="006B7F21" w:rsidRPr="00065F52" w:rsidRDefault="006B7F21" w:rsidP="006B7F21">
      <w:pPr>
        <w:spacing w:line="560" w:lineRule="exact"/>
        <w:ind w:firstLine="420"/>
        <w:jc w:val="left"/>
        <w:rPr>
          <w:rFonts w:ascii="仿宋_GB2312" w:eastAsia="仿宋_GB2312" w:hAnsi="宋体"/>
          <w:sz w:val="32"/>
          <w:szCs w:val="32"/>
        </w:rPr>
      </w:pPr>
      <w:r w:rsidRPr="00065F52">
        <w:rPr>
          <w:rFonts w:ascii="仿宋_GB2312" w:eastAsia="仿宋_GB2312" w:hAnsi="宋体" w:hint="eastAsia"/>
          <w:sz w:val="32"/>
          <w:szCs w:val="32"/>
        </w:rPr>
        <w:t>1.执行异议的类型</w:t>
      </w:r>
    </w:p>
    <w:p w:rsidR="006B7F21" w:rsidRPr="00065F52" w:rsidRDefault="006B7F21" w:rsidP="006B7F21">
      <w:pPr>
        <w:spacing w:line="560" w:lineRule="exact"/>
        <w:ind w:firstLine="420"/>
        <w:jc w:val="left"/>
        <w:rPr>
          <w:rFonts w:ascii="仿宋_GB2312" w:eastAsia="仿宋_GB2312" w:hAnsi="宋体"/>
          <w:sz w:val="32"/>
          <w:szCs w:val="32"/>
        </w:rPr>
      </w:pPr>
      <w:r w:rsidRPr="00065F52">
        <w:rPr>
          <w:rFonts w:ascii="仿宋_GB2312" w:eastAsia="仿宋_GB2312" w:hAnsi="宋体" w:hint="eastAsia"/>
          <w:sz w:val="32"/>
          <w:szCs w:val="32"/>
        </w:rPr>
        <w:t>2.执行异议的特点</w:t>
      </w:r>
    </w:p>
    <w:p w:rsidR="006B7F21" w:rsidRPr="00065F52" w:rsidRDefault="006B7F21" w:rsidP="006B7F21">
      <w:pPr>
        <w:spacing w:line="560" w:lineRule="exact"/>
        <w:ind w:firstLine="420"/>
        <w:jc w:val="left"/>
        <w:rPr>
          <w:rFonts w:ascii="仿宋_GB2312" w:eastAsia="仿宋_GB2312" w:hAnsi="宋体"/>
          <w:sz w:val="32"/>
          <w:szCs w:val="32"/>
        </w:rPr>
      </w:pPr>
      <w:r w:rsidRPr="00065F52">
        <w:rPr>
          <w:rFonts w:ascii="仿宋_GB2312" w:eastAsia="仿宋_GB2312" w:hAnsi="宋体" w:hint="eastAsia"/>
          <w:sz w:val="32"/>
          <w:szCs w:val="32"/>
        </w:rPr>
        <w:t>3.执行异议的审查原则</w:t>
      </w:r>
    </w:p>
    <w:p w:rsidR="006B7F21" w:rsidRPr="00065F52" w:rsidRDefault="006B7F21" w:rsidP="006B7F21">
      <w:pPr>
        <w:spacing w:line="560" w:lineRule="exact"/>
        <w:ind w:firstLine="420"/>
        <w:jc w:val="left"/>
        <w:rPr>
          <w:rFonts w:ascii="仿宋_GB2312" w:eastAsia="仿宋_GB2312" w:hAnsi="宋体"/>
          <w:sz w:val="32"/>
          <w:szCs w:val="32"/>
        </w:rPr>
      </w:pPr>
      <w:r w:rsidRPr="00065F52">
        <w:rPr>
          <w:rFonts w:ascii="仿宋_GB2312" w:eastAsia="仿宋_GB2312" w:hAnsi="宋体" w:hint="eastAsia"/>
          <w:sz w:val="32"/>
          <w:szCs w:val="32"/>
        </w:rPr>
        <w:t>（二）执行异议之诉的类型、特点及审查原则</w:t>
      </w:r>
    </w:p>
    <w:p w:rsidR="006B7F21" w:rsidRPr="00065F52" w:rsidRDefault="006B7F21" w:rsidP="006B7F21">
      <w:pPr>
        <w:spacing w:line="560" w:lineRule="exact"/>
        <w:ind w:firstLine="420"/>
        <w:jc w:val="left"/>
        <w:rPr>
          <w:rFonts w:ascii="仿宋_GB2312" w:eastAsia="仿宋_GB2312" w:hAnsi="宋体"/>
          <w:sz w:val="32"/>
          <w:szCs w:val="32"/>
        </w:rPr>
      </w:pPr>
      <w:r w:rsidRPr="00065F52">
        <w:rPr>
          <w:rFonts w:ascii="仿宋_GB2312" w:eastAsia="仿宋_GB2312" w:hAnsi="宋体" w:hint="eastAsia"/>
          <w:sz w:val="32"/>
          <w:szCs w:val="32"/>
        </w:rPr>
        <w:t>1.执行异议之诉的类型</w:t>
      </w:r>
      <w:r w:rsidRPr="00065F52">
        <w:rPr>
          <w:rFonts w:ascii="仿宋_GB2312" w:eastAsia="仿宋_GB2312" w:hAnsi="宋体" w:hint="eastAsia"/>
          <w:sz w:val="32"/>
          <w:szCs w:val="32"/>
        </w:rPr>
        <w:tab/>
      </w:r>
    </w:p>
    <w:p w:rsidR="006B7F21" w:rsidRPr="00065F52" w:rsidRDefault="006B7F21" w:rsidP="006B7F21">
      <w:pPr>
        <w:spacing w:line="560" w:lineRule="exact"/>
        <w:ind w:firstLine="420"/>
        <w:jc w:val="left"/>
        <w:rPr>
          <w:rFonts w:ascii="仿宋_GB2312" w:eastAsia="仿宋_GB2312" w:hAnsi="宋体"/>
          <w:sz w:val="32"/>
          <w:szCs w:val="32"/>
        </w:rPr>
      </w:pPr>
      <w:r w:rsidRPr="00065F52">
        <w:rPr>
          <w:rFonts w:ascii="仿宋_GB2312" w:eastAsia="仿宋_GB2312" w:hAnsi="宋体" w:hint="eastAsia"/>
          <w:sz w:val="32"/>
          <w:szCs w:val="32"/>
        </w:rPr>
        <w:t>2.执行异议之诉案件的主要特点</w:t>
      </w:r>
      <w:r w:rsidRPr="00065F52">
        <w:rPr>
          <w:rFonts w:ascii="仿宋_GB2312" w:eastAsia="仿宋_GB2312" w:hAnsi="宋体" w:hint="eastAsia"/>
          <w:sz w:val="32"/>
          <w:szCs w:val="32"/>
        </w:rPr>
        <w:tab/>
      </w:r>
    </w:p>
    <w:p w:rsidR="006B7F21" w:rsidRPr="00065F52" w:rsidRDefault="006B7F21" w:rsidP="006B7F21">
      <w:pPr>
        <w:spacing w:line="560" w:lineRule="exact"/>
        <w:ind w:firstLine="420"/>
        <w:jc w:val="left"/>
        <w:rPr>
          <w:rFonts w:ascii="仿宋_GB2312" w:eastAsia="仿宋_GB2312" w:hAnsi="宋体"/>
          <w:sz w:val="32"/>
          <w:szCs w:val="32"/>
        </w:rPr>
      </w:pPr>
      <w:r w:rsidRPr="00065F52">
        <w:rPr>
          <w:rFonts w:ascii="仿宋_GB2312" w:eastAsia="仿宋_GB2312" w:hAnsi="宋体" w:hint="eastAsia"/>
          <w:sz w:val="32"/>
          <w:szCs w:val="32"/>
        </w:rPr>
        <w:t>3.执行异议之诉的审查原则</w:t>
      </w:r>
      <w:r w:rsidRPr="00065F52">
        <w:rPr>
          <w:rFonts w:ascii="仿宋_GB2312" w:eastAsia="仿宋_GB2312" w:hAnsi="宋体" w:hint="eastAsia"/>
          <w:sz w:val="32"/>
          <w:szCs w:val="32"/>
        </w:rPr>
        <w:tab/>
      </w:r>
    </w:p>
    <w:p w:rsidR="006B7F21" w:rsidRPr="00065F52" w:rsidRDefault="006B7F21" w:rsidP="006B7F21">
      <w:pPr>
        <w:spacing w:line="560" w:lineRule="exact"/>
        <w:ind w:firstLine="420"/>
        <w:jc w:val="left"/>
        <w:rPr>
          <w:rFonts w:ascii="仿宋_GB2312" w:eastAsia="仿宋_GB2312" w:hAnsi="宋体"/>
          <w:sz w:val="32"/>
          <w:szCs w:val="32"/>
        </w:rPr>
      </w:pPr>
      <w:r w:rsidRPr="00065F52">
        <w:rPr>
          <w:rFonts w:ascii="仿宋_GB2312" w:eastAsia="仿宋_GB2312" w:hAnsi="宋体" w:hint="eastAsia"/>
          <w:sz w:val="32"/>
          <w:szCs w:val="32"/>
        </w:rPr>
        <w:t>三、执行异议与执行异议之诉的裁判概况</w:t>
      </w:r>
      <w:r w:rsidRPr="00065F52">
        <w:rPr>
          <w:rFonts w:ascii="仿宋_GB2312" w:eastAsia="仿宋_GB2312" w:hAnsi="宋体" w:hint="eastAsia"/>
          <w:sz w:val="32"/>
          <w:szCs w:val="32"/>
        </w:rPr>
        <w:tab/>
      </w:r>
    </w:p>
    <w:p w:rsidR="006B7F21" w:rsidRPr="00065F52" w:rsidRDefault="006B7F21" w:rsidP="006B7F21">
      <w:pPr>
        <w:spacing w:line="560" w:lineRule="exact"/>
        <w:ind w:firstLine="420"/>
        <w:jc w:val="left"/>
        <w:rPr>
          <w:rFonts w:ascii="仿宋_GB2312" w:eastAsia="仿宋_GB2312" w:hAnsi="宋体"/>
          <w:sz w:val="32"/>
          <w:szCs w:val="32"/>
        </w:rPr>
      </w:pPr>
      <w:r w:rsidRPr="00065F52">
        <w:rPr>
          <w:rFonts w:ascii="仿宋_GB2312" w:eastAsia="仿宋_GB2312" w:hAnsi="宋体" w:hint="eastAsia"/>
          <w:sz w:val="32"/>
          <w:szCs w:val="32"/>
        </w:rPr>
        <w:t>（一）执行异议与执行异议之诉的基本数据分析</w:t>
      </w:r>
    </w:p>
    <w:p w:rsidR="006B7F21" w:rsidRPr="00065F52" w:rsidRDefault="006B7F21" w:rsidP="006B7F21">
      <w:pPr>
        <w:spacing w:line="560" w:lineRule="exact"/>
        <w:ind w:firstLine="420"/>
        <w:jc w:val="left"/>
        <w:rPr>
          <w:rFonts w:ascii="仿宋_GB2312" w:eastAsia="仿宋_GB2312" w:hAnsi="宋体"/>
          <w:sz w:val="32"/>
          <w:szCs w:val="32"/>
        </w:rPr>
      </w:pPr>
      <w:r w:rsidRPr="00065F52">
        <w:rPr>
          <w:rFonts w:ascii="仿宋_GB2312" w:eastAsia="仿宋_GB2312" w:hAnsi="宋体" w:hint="eastAsia"/>
          <w:sz w:val="32"/>
          <w:szCs w:val="32"/>
        </w:rPr>
        <w:t>1.案件受理情况</w:t>
      </w:r>
    </w:p>
    <w:p w:rsidR="006B7F21" w:rsidRPr="00065F52" w:rsidRDefault="006B7F21" w:rsidP="006B7F21">
      <w:pPr>
        <w:spacing w:line="560" w:lineRule="exact"/>
        <w:ind w:firstLine="420"/>
        <w:jc w:val="left"/>
        <w:rPr>
          <w:rFonts w:ascii="仿宋_GB2312" w:eastAsia="仿宋_GB2312" w:hAnsi="宋体"/>
          <w:sz w:val="32"/>
          <w:szCs w:val="32"/>
        </w:rPr>
      </w:pPr>
      <w:r w:rsidRPr="00065F52">
        <w:rPr>
          <w:rFonts w:ascii="仿宋_GB2312" w:eastAsia="仿宋_GB2312" w:hAnsi="宋体" w:hint="eastAsia"/>
          <w:sz w:val="32"/>
          <w:szCs w:val="32"/>
        </w:rPr>
        <w:t>2.案件审结情况</w:t>
      </w:r>
    </w:p>
    <w:p w:rsidR="006B7F21" w:rsidRPr="00065F52" w:rsidRDefault="006B7F21" w:rsidP="006B7F21">
      <w:pPr>
        <w:spacing w:line="560" w:lineRule="exact"/>
        <w:ind w:firstLine="420"/>
        <w:jc w:val="left"/>
        <w:rPr>
          <w:rFonts w:ascii="仿宋_GB2312" w:eastAsia="仿宋_GB2312" w:hAnsi="宋体"/>
          <w:sz w:val="32"/>
          <w:szCs w:val="32"/>
        </w:rPr>
      </w:pPr>
      <w:r w:rsidRPr="00065F52">
        <w:rPr>
          <w:rFonts w:ascii="仿宋_GB2312" w:eastAsia="仿宋_GB2312" w:hAnsi="宋体" w:hint="eastAsia"/>
          <w:sz w:val="32"/>
          <w:szCs w:val="32"/>
        </w:rPr>
        <w:t>3.审判周期情况</w:t>
      </w:r>
    </w:p>
    <w:p w:rsidR="006B7F21" w:rsidRPr="00065F52" w:rsidRDefault="006B7F21" w:rsidP="006B7F21">
      <w:pPr>
        <w:spacing w:line="560" w:lineRule="exact"/>
        <w:ind w:firstLine="420"/>
        <w:jc w:val="left"/>
        <w:rPr>
          <w:rFonts w:ascii="仿宋_GB2312" w:eastAsia="仿宋_GB2312" w:hAnsi="宋体"/>
          <w:sz w:val="32"/>
          <w:szCs w:val="32"/>
        </w:rPr>
      </w:pPr>
      <w:r w:rsidRPr="00065F52">
        <w:rPr>
          <w:rFonts w:ascii="仿宋_GB2312" w:eastAsia="仿宋_GB2312" w:hAnsi="宋体" w:hint="eastAsia"/>
          <w:sz w:val="32"/>
          <w:szCs w:val="32"/>
        </w:rPr>
        <w:t>4.诉讼标分布情况</w:t>
      </w:r>
      <w:r w:rsidRPr="00065F52">
        <w:rPr>
          <w:rFonts w:ascii="仿宋_GB2312" w:eastAsia="仿宋_GB2312" w:hAnsi="宋体" w:hint="eastAsia"/>
          <w:sz w:val="32"/>
          <w:szCs w:val="32"/>
        </w:rPr>
        <w:tab/>
      </w:r>
    </w:p>
    <w:p w:rsidR="006B7F21" w:rsidRPr="00065F52" w:rsidRDefault="006B7F21" w:rsidP="006B7F21">
      <w:pPr>
        <w:spacing w:line="560" w:lineRule="exact"/>
        <w:ind w:firstLine="420"/>
        <w:jc w:val="left"/>
        <w:rPr>
          <w:rFonts w:ascii="仿宋_GB2312" w:eastAsia="仿宋_GB2312" w:hAnsi="宋体"/>
          <w:sz w:val="32"/>
          <w:szCs w:val="32"/>
        </w:rPr>
      </w:pPr>
      <w:r w:rsidRPr="00065F52">
        <w:rPr>
          <w:rFonts w:ascii="仿宋_GB2312" w:eastAsia="仿宋_GB2312" w:hAnsi="宋体" w:hint="eastAsia"/>
          <w:sz w:val="32"/>
          <w:szCs w:val="32"/>
        </w:rPr>
        <w:t>5.诉讼类型分布情况</w:t>
      </w:r>
      <w:r w:rsidRPr="00065F52">
        <w:rPr>
          <w:rFonts w:ascii="仿宋_GB2312" w:eastAsia="仿宋_GB2312" w:hAnsi="宋体" w:hint="eastAsia"/>
          <w:sz w:val="32"/>
          <w:szCs w:val="32"/>
        </w:rPr>
        <w:tab/>
      </w:r>
    </w:p>
    <w:p w:rsidR="006B7F21" w:rsidRPr="00065F52" w:rsidRDefault="006B7F21" w:rsidP="006B7F21">
      <w:pPr>
        <w:spacing w:line="560" w:lineRule="exact"/>
        <w:ind w:firstLine="420"/>
        <w:jc w:val="left"/>
        <w:rPr>
          <w:rFonts w:ascii="仿宋_GB2312" w:eastAsia="仿宋_GB2312" w:hAnsi="宋体"/>
          <w:sz w:val="32"/>
          <w:szCs w:val="32"/>
        </w:rPr>
      </w:pPr>
      <w:r w:rsidRPr="00065F52">
        <w:rPr>
          <w:rFonts w:ascii="仿宋_GB2312" w:eastAsia="仿宋_GB2312" w:hAnsi="宋体" w:hint="eastAsia"/>
          <w:sz w:val="32"/>
          <w:szCs w:val="32"/>
        </w:rPr>
        <w:t>（二）执行异议与执行异议之诉审查中的常见问题分析</w:t>
      </w:r>
    </w:p>
    <w:p w:rsidR="006B7F21" w:rsidRPr="00065F52" w:rsidRDefault="002E7367" w:rsidP="006B7F21">
      <w:pPr>
        <w:spacing w:line="560" w:lineRule="exact"/>
        <w:ind w:firstLine="420"/>
        <w:jc w:val="left"/>
        <w:rPr>
          <w:rFonts w:ascii="仿宋_GB2312" w:eastAsia="仿宋_GB2312" w:hAnsi="宋体"/>
          <w:sz w:val="32"/>
          <w:szCs w:val="32"/>
        </w:rPr>
      </w:pPr>
      <w:r w:rsidRPr="00065F52">
        <w:rPr>
          <w:rFonts w:ascii="仿宋_GB2312" w:eastAsia="仿宋_GB2312" w:hAnsi="宋体" w:hint="eastAsia"/>
          <w:sz w:val="32"/>
          <w:szCs w:val="32"/>
        </w:rPr>
        <w:t>1.</w:t>
      </w:r>
      <w:r w:rsidR="006B7F21" w:rsidRPr="00065F52">
        <w:rPr>
          <w:rFonts w:ascii="仿宋_GB2312" w:eastAsia="仿宋_GB2312" w:hAnsi="宋体" w:hint="eastAsia"/>
          <w:sz w:val="32"/>
          <w:szCs w:val="32"/>
        </w:rPr>
        <w:t>程序性问题</w:t>
      </w:r>
      <w:r w:rsidR="006B7F21" w:rsidRPr="00065F52">
        <w:rPr>
          <w:rFonts w:ascii="仿宋_GB2312" w:eastAsia="仿宋_GB2312" w:hAnsi="宋体" w:hint="eastAsia"/>
          <w:sz w:val="32"/>
          <w:szCs w:val="32"/>
        </w:rPr>
        <w:tab/>
      </w:r>
    </w:p>
    <w:p w:rsidR="006B7F21" w:rsidRPr="00065F52" w:rsidRDefault="006B7F21" w:rsidP="006B7F21">
      <w:pPr>
        <w:spacing w:line="560" w:lineRule="exact"/>
        <w:ind w:firstLine="420"/>
        <w:jc w:val="left"/>
        <w:rPr>
          <w:rFonts w:ascii="仿宋_GB2312" w:eastAsia="仿宋_GB2312" w:hAnsi="宋体"/>
          <w:sz w:val="32"/>
          <w:szCs w:val="32"/>
        </w:rPr>
      </w:pPr>
      <w:r w:rsidRPr="00065F52">
        <w:rPr>
          <w:rFonts w:ascii="仿宋_GB2312" w:eastAsia="仿宋_GB2312" w:hAnsi="宋体" w:hint="eastAsia"/>
          <w:sz w:val="32"/>
          <w:szCs w:val="32"/>
        </w:rPr>
        <w:t>2.实体性问题</w:t>
      </w:r>
      <w:r w:rsidRPr="00065F52">
        <w:rPr>
          <w:rFonts w:ascii="仿宋_GB2312" w:eastAsia="仿宋_GB2312" w:hAnsi="宋体" w:hint="eastAsia"/>
          <w:sz w:val="32"/>
          <w:szCs w:val="32"/>
        </w:rPr>
        <w:tab/>
      </w:r>
    </w:p>
    <w:p w:rsidR="006B7F21" w:rsidRPr="00065F52" w:rsidRDefault="006B7F21" w:rsidP="006B7F21">
      <w:pPr>
        <w:spacing w:line="560" w:lineRule="exact"/>
        <w:ind w:firstLine="420"/>
        <w:jc w:val="left"/>
        <w:rPr>
          <w:rFonts w:ascii="仿宋_GB2312" w:eastAsia="仿宋_GB2312" w:hAnsi="宋体"/>
          <w:sz w:val="32"/>
          <w:szCs w:val="32"/>
        </w:rPr>
      </w:pPr>
      <w:r w:rsidRPr="00065F52">
        <w:rPr>
          <w:rFonts w:ascii="仿宋_GB2312" w:eastAsia="仿宋_GB2312" w:hAnsi="宋体" w:hint="eastAsia"/>
          <w:sz w:val="32"/>
          <w:szCs w:val="32"/>
        </w:rPr>
        <w:lastRenderedPageBreak/>
        <w:t>（三）执行异议与执行异议之诉中的虚假诉讼问题</w:t>
      </w:r>
      <w:r w:rsidRPr="00065F52">
        <w:rPr>
          <w:rFonts w:ascii="仿宋_GB2312" w:eastAsia="仿宋_GB2312" w:hAnsi="宋体" w:hint="eastAsia"/>
          <w:sz w:val="32"/>
          <w:szCs w:val="32"/>
        </w:rPr>
        <w:tab/>
      </w:r>
    </w:p>
    <w:p w:rsidR="006B7F21" w:rsidRPr="00065F52" w:rsidRDefault="006B7F21" w:rsidP="006B7F21">
      <w:pPr>
        <w:spacing w:line="560" w:lineRule="exact"/>
        <w:ind w:firstLine="420"/>
        <w:jc w:val="left"/>
        <w:rPr>
          <w:rFonts w:ascii="仿宋_GB2312" w:eastAsia="仿宋_GB2312" w:hAnsi="宋体"/>
          <w:sz w:val="32"/>
          <w:szCs w:val="32"/>
        </w:rPr>
      </w:pPr>
      <w:r w:rsidRPr="00065F52">
        <w:rPr>
          <w:rFonts w:ascii="仿宋_GB2312" w:eastAsia="仿宋_GB2312" w:hAnsi="宋体" w:hint="eastAsia"/>
          <w:sz w:val="32"/>
          <w:szCs w:val="32"/>
        </w:rPr>
        <w:t>（四）执行异议与执行异议之诉对执行效率的影响</w:t>
      </w:r>
      <w:r w:rsidRPr="00065F52">
        <w:rPr>
          <w:rFonts w:ascii="仿宋_GB2312" w:eastAsia="仿宋_GB2312" w:hAnsi="宋体" w:hint="eastAsia"/>
          <w:sz w:val="32"/>
          <w:szCs w:val="32"/>
        </w:rPr>
        <w:tab/>
      </w:r>
    </w:p>
    <w:p w:rsidR="006B7F21" w:rsidRPr="00065F52" w:rsidRDefault="006B7F21" w:rsidP="006B7F21">
      <w:pPr>
        <w:spacing w:line="560" w:lineRule="exact"/>
        <w:ind w:firstLine="420"/>
        <w:jc w:val="left"/>
        <w:rPr>
          <w:rFonts w:ascii="仿宋_GB2312" w:eastAsia="仿宋_GB2312" w:hAnsi="宋体"/>
          <w:sz w:val="32"/>
          <w:szCs w:val="32"/>
        </w:rPr>
      </w:pPr>
      <w:r w:rsidRPr="00065F52">
        <w:rPr>
          <w:rFonts w:ascii="仿宋_GB2312" w:eastAsia="仿宋_GB2312" w:hAnsi="宋体" w:hint="eastAsia"/>
          <w:sz w:val="32"/>
          <w:szCs w:val="32"/>
        </w:rPr>
        <w:t>四、关于执行异议与执行异议之诉裁判的对策与建议</w:t>
      </w:r>
      <w:r w:rsidRPr="00065F52">
        <w:rPr>
          <w:rFonts w:ascii="仿宋_GB2312" w:eastAsia="仿宋_GB2312" w:hAnsi="宋体" w:hint="eastAsia"/>
          <w:sz w:val="32"/>
          <w:szCs w:val="32"/>
        </w:rPr>
        <w:tab/>
      </w:r>
    </w:p>
    <w:p w:rsidR="006B7F21" w:rsidRPr="00065F52" w:rsidRDefault="006B7F21" w:rsidP="006B7F21">
      <w:pPr>
        <w:spacing w:line="560" w:lineRule="exact"/>
        <w:ind w:firstLine="420"/>
        <w:jc w:val="left"/>
        <w:rPr>
          <w:rFonts w:ascii="仿宋_GB2312" w:eastAsia="仿宋_GB2312" w:hAnsi="宋体"/>
          <w:sz w:val="32"/>
          <w:szCs w:val="32"/>
        </w:rPr>
      </w:pPr>
      <w:r w:rsidRPr="00065F52">
        <w:rPr>
          <w:rFonts w:ascii="仿宋_GB2312" w:eastAsia="仿宋_GB2312" w:hAnsi="宋体" w:hint="eastAsia"/>
          <w:sz w:val="32"/>
          <w:szCs w:val="32"/>
        </w:rPr>
        <w:t>（一）完善裁判标准统一机制</w:t>
      </w:r>
      <w:r w:rsidRPr="00065F52">
        <w:rPr>
          <w:rFonts w:ascii="仿宋_GB2312" w:eastAsia="仿宋_GB2312" w:hAnsi="宋体" w:hint="eastAsia"/>
          <w:sz w:val="32"/>
          <w:szCs w:val="32"/>
        </w:rPr>
        <w:tab/>
      </w:r>
    </w:p>
    <w:p w:rsidR="006B7F21" w:rsidRPr="00065F52" w:rsidRDefault="006B7F21" w:rsidP="006B7F21">
      <w:pPr>
        <w:spacing w:line="560" w:lineRule="exact"/>
        <w:ind w:firstLine="420"/>
        <w:jc w:val="left"/>
        <w:rPr>
          <w:rFonts w:ascii="仿宋_GB2312" w:eastAsia="仿宋_GB2312" w:hAnsi="宋体"/>
          <w:sz w:val="32"/>
          <w:szCs w:val="32"/>
        </w:rPr>
      </w:pPr>
      <w:r w:rsidRPr="00065F52">
        <w:rPr>
          <w:rFonts w:ascii="仿宋_GB2312" w:eastAsia="仿宋_GB2312" w:hAnsi="宋体" w:hint="eastAsia"/>
          <w:sz w:val="32"/>
          <w:szCs w:val="32"/>
        </w:rPr>
        <w:t>（二）推进立审</w:t>
      </w:r>
      <w:proofErr w:type="gramStart"/>
      <w:r w:rsidRPr="00065F52">
        <w:rPr>
          <w:rFonts w:ascii="仿宋_GB2312" w:eastAsia="仿宋_GB2312" w:hAnsi="宋体" w:hint="eastAsia"/>
          <w:sz w:val="32"/>
          <w:szCs w:val="32"/>
        </w:rPr>
        <w:t>执协调</w:t>
      </w:r>
      <w:proofErr w:type="gramEnd"/>
      <w:r w:rsidRPr="00065F52">
        <w:rPr>
          <w:rFonts w:ascii="仿宋_GB2312" w:eastAsia="仿宋_GB2312" w:hAnsi="宋体" w:hint="eastAsia"/>
          <w:sz w:val="32"/>
          <w:szCs w:val="32"/>
        </w:rPr>
        <w:t>配合机制</w:t>
      </w:r>
      <w:r w:rsidRPr="00065F52">
        <w:rPr>
          <w:rFonts w:ascii="仿宋_GB2312" w:eastAsia="仿宋_GB2312" w:hAnsi="宋体" w:hint="eastAsia"/>
          <w:sz w:val="32"/>
          <w:szCs w:val="32"/>
        </w:rPr>
        <w:tab/>
      </w:r>
    </w:p>
    <w:p w:rsidR="006B7F21" w:rsidRPr="00065F52" w:rsidRDefault="006B7F21" w:rsidP="006B7F21">
      <w:pPr>
        <w:spacing w:line="560" w:lineRule="exact"/>
        <w:ind w:firstLine="420"/>
        <w:jc w:val="left"/>
        <w:rPr>
          <w:rFonts w:ascii="仿宋_GB2312" w:eastAsia="仿宋_GB2312" w:hAnsi="宋体"/>
          <w:sz w:val="32"/>
          <w:szCs w:val="32"/>
        </w:rPr>
      </w:pPr>
      <w:r w:rsidRPr="00065F52">
        <w:rPr>
          <w:rFonts w:ascii="仿宋_GB2312" w:eastAsia="仿宋_GB2312" w:hAnsi="宋体" w:hint="eastAsia"/>
          <w:sz w:val="32"/>
          <w:szCs w:val="32"/>
        </w:rPr>
        <w:t>（三）虚假诉讼的规制与责任</w:t>
      </w:r>
      <w:r w:rsidRPr="00065F52">
        <w:rPr>
          <w:rFonts w:ascii="仿宋_GB2312" w:eastAsia="仿宋_GB2312" w:hAnsi="宋体" w:hint="eastAsia"/>
          <w:sz w:val="32"/>
          <w:szCs w:val="32"/>
        </w:rPr>
        <w:tab/>
      </w:r>
    </w:p>
    <w:p w:rsidR="006B7F21" w:rsidRPr="00065F52" w:rsidRDefault="006B7F21" w:rsidP="006B7F21">
      <w:pPr>
        <w:spacing w:line="560" w:lineRule="exact"/>
        <w:ind w:firstLine="420"/>
        <w:jc w:val="center"/>
        <w:rPr>
          <w:rFonts w:ascii="仿宋_GB2312" w:eastAsia="仿宋_GB2312" w:hAnsi="宋体"/>
          <w:sz w:val="48"/>
          <w:szCs w:val="32"/>
        </w:rPr>
      </w:pPr>
    </w:p>
    <w:p w:rsidR="006B7F21" w:rsidRPr="00065F52" w:rsidRDefault="006B7F21" w:rsidP="006B7F21">
      <w:pPr>
        <w:spacing w:line="560" w:lineRule="exact"/>
        <w:ind w:firstLine="420"/>
        <w:jc w:val="center"/>
        <w:rPr>
          <w:rFonts w:ascii="仿宋_GB2312" w:eastAsia="仿宋_GB2312" w:hAnsi="宋体"/>
          <w:sz w:val="48"/>
          <w:szCs w:val="32"/>
        </w:rPr>
      </w:pPr>
    </w:p>
    <w:p w:rsidR="006B7F21" w:rsidRPr="00065F52" w:rsidRDefault="006B7F21" w:rsidP="006B7F21">
      <w:pPr>
        <w:spacing w:line="560" w:lineRule="exact"/>
        <w:ind w:firstLine="420"/>
        <w:jc w:val="center"/>
        <w:rPr>
          <w:rFonts w:ascii="仿宋_GB2312" w:eastAsia="仿宋_GB2312" w:hAnsi="宋体"/>
          <w:sz w:val="32"/>
          <w:szCs w:val="32"/>
        </w:rPr>
      </w:pPr>
    </w:p>
    <w:p w:rsidR="006B7F21" w:rsidRPr="00065F52" w:rsidRDefault="006B7F21" w:rsidP="006B7F21">
      <w:pPr>
        <w:spacing w:line="560" w:lineRule="exact"/>
        <w:ind w:firstLine="420"/>
        <w:jc w:val="center"/>
        <w:rPr>
          <w:rFonts w:ascii="仿宋_GB2312" w:eastAsia="仿宋_GB2312" w:hAnsi="宋体"/>
          <w:sz w:val="32"/>
          <w:szCs w:val="32"/>
        </w:rPr>
      </w:pPr>
    </w:p>
    <w:p w:rsidR="006B7F21" w:rsidRPr="00065F52" w:rsidRDefault="006B7F21" w:rsidP="006B7F21">
      <w:pPr>
        <w:spacing w:line="560" w:lineRule="exact"/>
        <w:ind w:firstLine="420"/>
        <w:jc w:val="center"/>
        <w:rPr>
          <w:rFonts w:ascii="仿宋_GB2312" w:eastAsia="仿宋_GB2312" w:hAnsi="宋体"/>
          <w:sz w:val="32"/>
          <w:szCs w:val="32"/>
        </w:rPr>
      </w:pPr>
    </w:p>
    <w:p w:rsidR="006B7F21" w:rsidRPr="00065F52" w:rsidRDefault="006B7F21" w:rsidP="006B7F21">
      <w:pPr>
        <w:spacing w:line="560" w:lineRule="exact"/>
        <w:ind w:firstLine="420"/>
        <w:jc w:val="center"/>
        <w:rPr>
          <w:rFonts w:ascii="仿宋_GB2312" w:eastAsia="仿宋_GB2312" w:hAnsi="宋体"/>
          <w:sz w:val="32"/>
          <w:szCs w:val="32"/>
        </w:rPr>
      </w:pPr>
    </w:p>
    <w:p w:rsidR="006B7F21" w:rsidRPr="00065F52" w:rsidRDefault="006B7F21" w:rsidP="006B7F21">
      <w:pPr>
        <w:spacing w:line="560" w:lineRule="exact"/>
        <w:ind w:firstLine="420"/>
        <w:jc w:val="center"/>
        <w:rPr>
          <w:rFonts w:ascii="仿宋_GB2312" w:eastAsia="仿宋_GB2312" w:hAnsi="宋体"/>
          <w:sz w:val="32"/>
          <w:szCs w:val="32"/>
        </w:rPr>
      </w:pPr>
    </w:p>
    <w:p w:rsidR="006B7F21" w:rsidRPr="00065F52" w:rsidRDefault="006B7F21" w:rsidP="006B7F21">
      <w:pPr>
        <w:spacing w:line="560" w:lineRule="exact"/>
        <w:ind w:firstLine="420"/>
        <w:jc w:val="center"/>
        <w:rPr>
          <w:rFonts w:ascii="仿宋_GB2312" w:eastAsia="仿宋_GB2312" w:hAnsi="宋体"/>
          <w:sz w:val="32"/>
          <w:szCs w:val="32"/>
        </w:rPr>
      </w:pPr>
    </w:p>
    <w:p w:rsidR="006B7F21" w:rsidRPr="00065F52" w:rsidRDefault="006B7F21" w:rsidP="006B7F21">
      <w:pPr>
        <w:spacing w:line="560" w:lineRule="exact"/>
        <w:ind w:firstLine="420"/>
        <w:jc w:val="center"/>
        <w:rPr>
          <w:rFonts w:ascii="仿宋_GB2312" w:eastAsia="仿宋_GB2312" w:hAnsi="宋体"/>
          <w:sz w:val="32"/>
          <w:szCs w:val="32"/>
        </w:rPr>
      </w:pPr>
    </w:p>
    <w:p w:rsidR="006B7F21" w:rsidRPr="00065F52" w:rsidRDefault="006B7F21" w:rsidP="006B7F21">
      <w:pPr>
        <w:spacing w:line="560" w:lineRule="exact"/>
        <w:ind w:firstLine="420"/>
        <w:jc w:val="center"/>
        <w:rPr>
          <w:rFonts w:ascii="仿宋_GB2312" w:eastAsia="仿宋_GB2312" w:hAnsi="宋体"/>
          <w:sz w:val="32"/>
          <w:szCs w:val="32"/>
        </w:rPr>
      </w:pPr>
    </w:p>
    <w:p w:rsidR="006B7F21" w:rsidRPr="00065F52" w:rsidRDefault="006B7F21" w:rsidP="006B7F21">
      <w:pPr>
        <w:spacing w:line="560" w:lineRule="exact"/>
        <w:ind w:firstLine="420"/>
        <w:jc w:val="center"/>
        <w:rPr>
          <w:rFonts w:ascii="仿宋_GB2312" w:eastAsia="仿宋_GB2312" w:hAnsi="宋体"/>
          <w:sz w:val="32"/>
          <w:szCs w:val="32"/>
        </w:rPr>
      </w:pPr>
    </w:p>
    <w:p w:rsidR="006B7F21" w:rsidRPr="00065F52" w:rsidRDefault="006B7F21" w:rsidP="006B7F21">
      <w:pPr>
        <w:spacing w:line="560" w:lineRule="exact"/>
        <w:ind w:firstLine="420"/>
        <w:jc w:val="center"/>
        <w:rPr>
          <w:rFonts w:ascii="仿宋_GB2312" w:eastAsia="仿宋_GB2312" w:hAnsi="宋体"/>
          <w:sz w:val="32"/>
          <w:szCs w:val="32"/>
        </w:rPr>
      </w:pPr>
    </w:p>
    <w:p w:rsidR="006B7F21" w:rsidRPr="00065F52" w:rsidRDefault="006B7F21" w:rsidP="006B7F21">
      <w:pPr>
        <w:spacing w:line="560" w:lineRule="exact"/>
        <w:ind w:firstLine="420"/>
        <w:jc w:val="center"/>
        <w:rPr>
          <w:rFonts w:ascii="仿宋_GB2312" w:eastAsia="仿宋_GB2312" w:hAnsi="宋体"/>
          <w:sz w:val="32"/>
          <w:szCs w:val="32"/>
        </w:rPr>
      </w:pPr>
    </w:p>
    <w:p w:rsidR="006B7F21" w:rsidRPr="00065F52" w:rsidRDefault="006B7F21" w:rsidP="006B7F21">
      <w:pPr>
        <w:spacing w:line="560" w:lineRule="exact"/>
        <w:ind w:firstLine="420"/>
        <w:jc w:val="center"/>
        <w:rPr>
          <w:rFonts w:ascii="仿宋_GB2312" w:eastAsia="仿宋_GB2312" w:hAnsi="宋体"/>
          <w:sz w:val="32"/>
          <w:szCs w:val="32"/>
        </w:rPr>
      </w:pPr>
    </w:p>
    <w:p w:rsidR="006B7F21" w:rsidRPr="00065F52" w:rsidRDefault="006B7F21" w:rsidP="006B7F21">
      <w:pPr>
        <w:spacing w:line="560" w:lineRule="exact"/>
        <w:ind w:firstLine="420"/>
        <w:jc w:val="center"/>
        <w:rPr>
          <w:rFonts w:ascii="仿宋_GB2312" w:eastAsia="仿宋_GB2312" w:hAnsi="宋体"/>
          <w:sz w:val="32"/>
          <w:szCs w:val="32"/>
        </w:rPr>
      </w:pPr>
    </w:p>
    <w:p w:rsidR="006B7F21" w:rsidRPr="00065F52" w:rsidRDefault="006B7F21" w:rsidP="006B7F21">
      <w:pPr>
        <w:spacing w:line="560" w:lineRule="exact"/>
        <w:ind w:firstLine="420"/>
        <w:jc w:val="center"/>
        <w:rPr>
          <w:rFonts w:ascii="仿宋_GB2312" w:eastAsia="仿宋_GB2312" w:hAnsi="宋体"/>
          <w:sz w:val="32"/>
          <w:szCs w:val="32"/>
        </w:rPr>
      </w:pPr>
    </w:p>
    <w:p w:rsidR="006B7F21" w:rsidRPr="00065F52" w:rsidRDefault="006B7F21" w:rsidP="006B7F21">
      <w:pPr>
        <w:spacing w:line="560" w:lineRule="exact"/>
        <w:ind w:firstLine="420"/>
        <w:jc w:val="center"/>
        <w:rPr>
          <w:rFonts w:ascii="仿宋_GB2312" w:eastAsia="仿宋_GB2312" w:hAnsi="宋体"/>
          <w:sz w:val="32"/>
          <w:szCs w:val="32"/>
        </w:rPr>
      </w:pPr>
    </w:p>
    <w:p w:rsidR="006B7F21" w:rsidRPr="00065F52" w:rsidRDefault="006B7F21" w:rsidP="006B7F21">
      <w:pPr>
        <w:spacing w:line="560" w:lineRule="exact"/>
        <w:ind w:firstLine="420"/>
        <w:jc w:val="center"/>
        <w:rPr>
          <w:rFonts w:ascii="仿宋_GB2312" w:eastAsia="仿宋_GB2312" w:hAnsi="宋体"/>
          <w:sz w:val="32"/>
          <w:szCs w:val="32"/>
        </w:rPr>
      </w:pPr>
    </w:p>
    <w:p w:rsidR="006B7F21" w:rsidRPr="00065F52" w:rsidRDefault="006B7F21" w:rsidP="00E74E54">
      <w:pPr>
        <w:keepNext/>
        <w:keepLines/>
        <w:spacing w:line="578" w:lineRule="auto"/>
        <w:jc w:val="center"/>
        <w:outlineLvl w:val="0"/>
        <w:rPr>
          <w:rFonts w:ascii="黑体" w:eastAsia="黑体" w:hAnsi="黑体"/>
          <w:bCs/>
          <w:kern w:val="44"/>
          <w:sz w:val="32"/>
          <w:szCs w:val="32"/>
        </w:rPr>
      </w:pPr>
      <w:bookmarkStart w:id="0" w:name="_Toc36025641"/>
      <w:bookmarkStart w:id="1" w:name="_Toc36025665"/>
      <w:bookmarkStart w:id="2" w:name="_Toc36025827"/>
      <w:bookmarkStart w:id="3" w:name="_Toc36027073"/>
      <w:r w:rsidRPr="00065F52">
        <w:rPr>
          <w:rFonts w:ascii="黑体" w:eastAsia="黑体" w:hAnsi="黑体" w:hint="eastAsia"/>
          <w:bCs/>
          <w:kern w:val="44"/>
          <w:sz w:val="32"/>
          <w:szCs w:val="32"/>
        </w:rPr>
        <w:lastRenderedPageBreak/>
        <w:t>一、前言</w:t>
      </w:r>
      <w:bookmarkEnd w:id="0"/>
      <w:bookmarkEnd w:id="1"/>
      <w:bookmarkEnd w:id="2"/>
      <w:bookmarkEnd w:id="3"/>
    </w:p>
    <w:p w:rsidR="006B7F21" w:rsidRPr="00065F52" w:rsidRDefault="006B7F21" w:rsidP="006B7F21">
      <w:pPr>
        <w:spacing w:line="560" w:lineRule="exact"/>
        <w:ind w:firstLine="630"/>
        <w:rPr>
          <w:rFonts w:ascii="仿宋_GB2312" w:eastAsia="仿宋_GB2312" w:hAnsi="宋体"/>
          <w:sz w:val="32"/>
          <w:szCs w:val="32"/>
        </w:rPr>
      </w:pPr>
      <w:r w:rsidRPr="00065F52">
        <w:rPr>
          <w:rFonts w:ascii="仿宋_GB2312" w:eastAsia="仿宋_GB2312" w:hAnsi="宋体" w:hint="eastAsia"/>
          <w:sz w:val="32"/>
          <w:szCs w:val="32"/>
        </w:rPr>
        <w:t>近年来，审判实践中的执行异议与执行异议之诉案件逐年快速增长。2019年青岛两级法院受理执行异议与执行异议之诉的案件增幅为57%。与同期其他民商事案件相比，民间借贷类案件的增幅为53%，传统婚姻家庭类案件则减少了4.4%。执行异议与执行异议之诉案件的增长幅度已经呈现出与</w:t>
      </w:r>
      <w:proofErr w:type="gramStart"/>
      <w:r w:rsidRPr="00065F52">
        <w:rPr>
          <w:rFonts w:ascii="仿宋_GB2312" w:eastAsia="仿宋_GB2312" w:hAnsi="宋体" w:hint="eastAsia"/>
          <w:sz w:val="32"/>
          <w:szCs w:val="32"/>
        </w:rPr>
        <w:t>部分民</w:t>
      </w:r>
      <w:proofErr w:type="gramEnd"/>
      <w:r w:rsidRPr="00065F52">
        <w:rPr>
          <w:rFonts w:ascii="仿宋_GB2312" w:eastAsia="仿宋_GB2312" w:hAnsi="宋体" w:hint="eastAsia"/>
          <w:sz w:val="32"/>
          <w:szCs w:val="32"/>
        </w:rPr>
        <w:t>商事案件基本持平的趋势，并明显超过</w:t>
      </w:r>
      <w:proofErr w:type="gramStart"/>
      <w:r w:rsidRPr="00065F52">
        <w:rPr>
          <w:rFonts w:ascii="仿宋_GB2312" w:eastAsia="仿宋_GB2312" w:hAnsi="宋体" w:hint="eastAsia"/>
          <w:sz w:val="32"/>
          <w:szCs w:val="32"/>
        </w:rPr>
        <w:t>部分民</w:t>
      </w:r>
      <w:proofErr w:type="gramEnd"/>
      <w:r w:rsidRPr="00065F52">
        <w:rPr>
          <w:rFonts w:ascii="仿宋_GB2312" w:eastAsia="仿宋_GB2312" w:hAnsi="宋体" w:hint="eastAsia"/>
          <w:sz w:val="32"/>
          <w:szCs w:val="32"/>
        </w:rPr>
        <w:t>商事案件的趋势。</w:t>
      </w:r>
    </w:p>
    <w:p w:rsidR="006B7F21" w:rsidRPr="00065F52" w:rsidRDefault="006B7F21" w:rsidP="006B7F21">
      <w:pPr>
        <w:spacing w:line="560" w:lineRule="exact"/>
        <w:ind w:firstLine="630"/>
        <w:rPr>
          <w:rFonts w:ascii="仿宋_GB2312" w:eastAsia="仿宋_GB2312" w:hAnsi="宋体"/>
          <w:sz w:val="32"/>
          <w:szCs w:val="32"/>
        </w:rPr>
      </w:pPr>
      <w:r w:rsidRPr="00065F52">
        <w:rPr>
          <w:rFonts w:ascii="仿宋_GB2312" w:eastAsia="仿宋_GB2312" w:hAnsi="宋体" w:hint="eastAsia"/>
          <w:sz w:val="32"/>
          <w:szCs w:val="32"/>
        </w:rPr>
        <w:t>执行异议与执行异议之诉的审判形式日趋严峻，但具体审查规则尚不系统。执行异议之诉系在2007年《中华人民共和国民事诉讼法》修订后出现的一种诉讼类型。最高人民法院在其后出台的各种司法解释中，如2009年《最高人民法院关于适用〈中华人民共和国民事诉讼法〉执行程序若干问题的解释》、2014年《关于人民法院办理执行异议和复议案件若干问题的规定》、2015年《最高人民法院关于适用&lt;中华人民共和国民事诉讼法&gt;的解释》等，对执行异议诉讼从诉讼程序、实体审查等方面进行了规定。但由于各类审查规则散见于各种司法解释或规定中，缺乏整体系统性。而且，对于执行异议与执行异议之诉的立法本意、实体权利的法理本质、程序衔接的处理规则等，理论界及实践中仍然分歧较大。执行异议与执行异议之诉案件在司法实践中裁判标准不一致的现象也较为严重。此外，执行异议与执行异议之诉一裁两审的程序设置也对执行效率产生了重大影响，案外人提出执行异议，进行虚假诉讼，拖延和规避执行的情况，在司</w:t>
      </w:r>
      <w:r w:rsidRPr="00065F52">
        <w:rPr>
          <w:rFonts w:ascii="仿宋_GB2312" w:eastAsia="仿宋_GB2312" w:hAnsi="宋体" w:hint="eastAsia"/>
          <w:sz w:val="32"/>
          <w:szCs w:val="32"/>
        </w:rPr>
        <w:lastRenderedPageBreak/>
        <w:t>法实践</w:t>
      </w:r>
      <w:r w:rsidRPr="00FE0400">
        <w:rPr>
          <w:rFonts w:ascii="仿宋_GB2312" w:eastAsia="仿宋_GB2312" w:hAnsi="宋体" w:hint="eastAsia"/>
          <w:sz w:val="32"/>
          <w:szCs w:val="32"/>
        </w:rPr>
        <w:t>中</w:t>
      </w:r>
      <w:r w:rsidR="00E74E54" w:rsidRPr="00FE0400">
        <w:rPr>
          <w:rFonts w:ascii="仿宋_GB2312" w:eastAsia="仿宋_GB2312" w:hAnsi="宋体" w:hint="eastAsia"/>
          <w:sz w:val="32"/>
          <w:szCs w:val="32"/>
        </w:rPr>
        <w:t>非常严重</w:t>
      </w:r>
      <w:r w:rsidRPr="00FE0400">
        <w:rPr>
          <w:rFonts w:ascii="仿宋_GB2312" w:eastAsia="仿宋_GB2312" w:hAnsi="宋体" w:hint="eastAsia"/>
          <w:sz w:val="32"/>
          <w:szCs w:val="32"/>
        </w:rPr>
        <w:t>。</w:t>
      </w:r>
      <w:r w:rsidRPr="00065F52">
        <w:rPr>
          <w:rFonts w:ascii="仿宋_GB2312" w:eastAsia="仿宋_GB2312" w:hAnsi="宋体" w:hint="eastAsia"/>
          <w:sz w:val="32"/>
          <w:szCs w:val="32"/>
        </w:rPr>
        <w:t>所以，对于近年来执行异议与执行异议之诉案件审查情况进行司法统计并梳理总结审判经验，是执行异议与执行异议之诉审判实践的题中之义。</w:t>
      </w:r>
    </w:p>
    <w:p w:rsidR="006B7F21" w:rsidRPr="00065F52" w:rsidRDefault="006B7F21" w:rsidP="006B7F21">
      <w:pPr>
        <w:spacing w:line="560" w:lineRule="exact"/>
        <w:ind w:firstLineChars="200" w:firstLine="640"/>
        <w:rPr>
          <w:rFonts w:ascii="仿宋_GB2312" w:eastAsia="仿宋_GB2312" w:hAnsi="宋体"/>
          <w:sz w:val="32"/>
          <w:szCs w:val="32"/>
        </w:rPr>
      </w:pPr>
      <w:r w:rsidRPr="00065F52">
        <w:rPr>
          <w:rFonts w:ascii="仿宋_GB2312" w:eastAsia="仿宋_GB2312" w:hAnsi="宋体" w:hint="eastAsia"/>
          <w:sz w:val="32"/>
          <w:szCs w:val="32"/>
        </w:rPr>
        <w:t>青岛中院民一庭在2016年即开展了执行异议之诉的调研工作，以2014年至2017年期间的执行异议之诉案件为样本，经过一年时间，对司法实践中出现的疑点、难点问题进行总结，并于2017年11月份出台了《青岛市中级人民法院关于执行异议诉讼案件若干问题的处理意见（试行）》。该意见实施之后，对青岛市两级法院的执行异议之诉案件，起到了积极的指导作用，解决了司法实践中的疑点、难点问题，</w:t>
      </w:r>
      <w:r w:rsidRPr="00E74E54">
        <w:rPr>
          <w:rFonts w:ascii="仿宋_GB2312" w:eastAsia="仿宋_GB2312" w:hAnsi="宋体" w:hint="eastAsia"/>
          <w:sz w:val="32"/>
          <w:szCs w:val="32"/>
        </w:rPr>
        <w:t>统一</w:t>
      </w:r>
      <w:r w:rsidR="00E74E54" w:rsidRPr="00E74E54">
        <w:rPr>
          <w:rFonts w:ascii="仿宋_GB2312" w:eastAsia="仿宋_GB2312" w:hAnsi="宋体" w:hint="eastAsia"/>
          <w:sz w:val="32"/>
          <w:szCs w:val="32"/>
        </w:rPr>
        <w:t>了青岛</w:t>
      </w:r>
      <w:r w:rsidRPr="00E74E54">
        <w:rPr>
          <w:rFonts w:ascii="仿宋_GB2312" w:eastAsia="仿宋_GB2312" w:hAnsi="宋体" w:hint="eastAsia"/>
          <w:sz w:val="32"/>
          <w:szCs w:val="32"/>
        </w:rPr>
        <w:t>两级法院</w:t>
      </w:r>
      <w:r w:rsidRPr="00065F52">
        <w:rPr>
          <w:rFonts w:ascii="仿宋_GB2312" w:eastAsia="仿宋_GB2312" w:hAnsi="宋体" w:hint="eastAsia"/>
          <w:sz w:val="32"/>
          <w:szCs w:val="32"/>
        </w:rPr>
        <w:t>的裁判尺度。</w:t>
      </w:r>
    </w:p>
    <w:p w:rsidR="006B7F21" w:rsidRPr="00065F52" w:rsidRDefault="006B7F21" w:rsidP="006B7F21">
      <w:pPr>
        <w:spacing w:line="560" w:lineRule="exact"/>
        <w:ind w:firstLineChars="200" w:firstLine="640"/>
        <w:rPr>
          <w:rFonts w:ascii="仿宋_GB2312" w:eastAsia="仿宋_GB2312" w:hAnsi="宋体"/>
          <w:sz w:val="32"/>
          <w:szCs w:val="32"/>
        </w:rPr>
      </w:pPr>
      <w:r w:rsidRPr="00065F52">
        <w:rPr>
          <w:rFonts w:ascii="仿宋_GB2312" w:eastAsia="仿宋_GB2312" w:hAnsi="宋体" w:hint="eastAsia"/>
          <w:sz w:val="32"/>
          <w:szCs w:val="32"/>
        </w:rPr>
        <w:t>2017年至2019年期间，最高人民法院又陆续出台部分司法解释、意见等，对司法实践中部分程序、实体模糊的问题予以明确。在此背景之下，青岛中院民一庭与执行一庭共同以2017年至2019年期间的执行异议与执行异议之诉案件为样本，再次对执行异议之诉近年来的审查及裁判情况进行梳理、总结，形成本白皮书。</w:t>
      </w:r>
    </w:p>
    <w:p w:rsidR="006B7F21" w:rsidRPr="00065F52" w:rsidRDefault="006B7F21" w:rsidP="006B7F21">
      <w:pPr>
        <w:spacing w:line="560" w:lineRule="exact"/>
        <w:ind w:firstLine="420"/>
        <w:jc w:val="center"/>
        <w:rPr>
          <w:rFonts w:ascii="仿宋_GB2312" w:eastAsia="仿宋_GB2312" w:hAnsi="宋体"/>
          <w:sz w:val="32"/>
          <w:szCs w:val="32"/>
        </w:rPr>
      </w:pPr>
    </w:p>
    <w:p w:rsidR="006B7F21" w:rsidRPr="00065F52" w:rsidRDefault="006B7F21" w:rsidP="006B7F21">
      <w:pPr>
        <w:spacing w:line="560" w:lineRule="exact"/>
        <w:ind w:firstLine="420"/>
        <w:jc w:val="center"/>
        <w:rPr>
          <w:rFonts w:ascii="仿宋_GB2312" w:eastAsia="仿宋_GB2312" w:hAnsi="宋体"/>
          <w:sz w:val="32"/>
          <w:szCs w:val="32"/>
        </w:rPr>
      </w:pPr>
    </w:p>
    <w:p w:rsidR="006B7F21" w:rsidRPr="00065F52" w:rsidRDefault="006B7F21" w:rsidP="006B7F21">
      <w:pPr>
        <w:spacing w:line="560" w:lineRule="exact"/>
        <w:ind w:firstLine="420"/>
        <w:jc w:val="center"/>
        <w:rPr>
          <w:rFonts w:ascii="仿宋_GB2312" w:eastAsia="仿宋_GB2312" w:hAnsi="宋体"/>
          <w:sz w:val="32"/>
          <w:szCs w:val="32"/>
        </w:rPr>
      </w:pPr>
    </w:p>
    <w:p w:rsidR="006B7F21" w:rsidRPr="00065F52" w:rsidRDefault="006B7F21" w:rsidP="006B7F21">
      <w:pPr>
        <w:spacing w:line="560" w:lineRule="exact"/>
        <w:ind w:firstLine="420"/>
        <w:jc w:val="center"/>
        <w:rPr>
          <w:rFonts w:ascii="仿宋_GB2312" w:eastAsia="仿宋_GB2312" w:hAnsi="宋体"/>
          <w:sz w:val="32"/>
          <w:szCs w:val="32"/>
        </w:rPr>
      </w:pPr>
    </w:p>
    <w:p w:rsidR="006B7F21" w:rsidRPr="00065F52" w:rsidRDefault="006B7F21" w:rsidP="006B7F21">
      <w:pPr>
        <w:spacing w:line="560" w:lineRule="exact"/>
        <w:ind w:firstLine="420"/>
        <w:jc w:val="center"/>
        <w:rPr>
          <w:rFonts w:ascii="仿宋_GB2312" w:eastAsia="仿宋_GB2312" w:hAnsi="宋体"/>
          <w:sz w:val="32"/>
          <w:szCs w:val="32"/>
        </w:rPr>
      </w:pPr>
    </w:p>
    <w:p w:rsidR="006B7F21" w:rsidRPr="00065F52" w:rsidRDefault="006B7F21" w:rsidP="006B7F21">
      <w:pPr>
        <w:spacing w:line="560" w:lineRule="exact"/>
        <w:rPr>
          <w:rFonts w:ascii="仿宋_GB2312" w:eastAsia="仿宋_GB2312" w:hAnsi="宋体"/>
          <w:sz w:val="32"/>
          <w:szCs w:val="32"/>
        </w:rPr>
      </w:pPr>
    </w:p>
    <w:p w:rsidR="006B7F21" w:rsidRPr="00065F52" w:rsidRDefault="006B7F21" w:rsidP="006B7F21">
      <w:pPr>
        <w:keepNext/>
        <w:keepLines/>
        <w:spacing w:line="578" w:lineRule="auto"/>
        <w:jc w:val="center"/>
        <w:outlineLvl w:val="0"/>
        <w:rPr>
          <w:rFonts w:ascii="黑体" w:eastAsia="黑体" w:hAnsi="黑体"/>
          <w:bCs/>
          <w:kern w:val="44"/>
          <w:sz w:val="32"/>
          <w:szCs w:val="32"/>
        </w:rPr>
      </w:pPr>
      <w:bookmarkStart w:id="4" w:name="_Toc36025642"/>
      <w:bookmarkStart w:id="5" w:name="_Toc36025666"/>
      <w:bookmarkStart w:id="6" w:name="_Toc36025828"/>
      <w:bookmarkStart w:id="7" w:name="_Toc36027074"/>
      <w:r w:rsidRPr="00065F52">
        <w:rPr>
          <w:rFonts w:ascii="黑体" w:eastAsia="黑体" w:hAnsi="黑体" w:hint="eastAsia"/>
          <w:bCs/>
          <w:kern w:val="44"/>
          <w:sz w:val="32"/>
          <w:szCs w:val="32"/>
        </w:rPr>
        <w:lastRenderedPageBreak/>
        <w:t>二、执行异议与执行异议之</w:t>
      </w:r>
      <w:proofErr w:type="gramStart"/>
      <w:r w:rsidRPr="00065F52">
        <w:rPr>
          <w:rFonts w:ascii="黑体" w:eastAsia="黑体" w:hAnsi="黑体" w:hint="eastAsia"/>
          <w:bCs/>
          <w:kern w:val="44"/>
          <w:sz w:val="32"/>
          <w:szCs w:val="32"/>
        </w:rPr>
        <w:t>诉基本</w:t>
      </w:r>
      <w:proofErr w:type="gramEnd"/>
      <w:r w:rsidRPr="00065F52">
        <w:rPr>
          <w:rFonts w:ascii="黑体" w:eastAsia="黑体" w:hAnsi="黑体" w:hint="eastAsia"/>
          <w:bCs/>
          <w:kern w:val="44"/>
          <w:sz w:val="32"/>
          <w:szCs w:val="32"/>
        </w:rPr>
        <w:t>概况</w:t>
      </w:r>
      <w:bookmarkEnd w:id="4"/>
      <w:bookmarkEnd w:id="5"/>
      <w:bookmarkEnd w:id="6"/>
      <w:bookmarkEnd w:id="7"/>
    </w:p>
    <w:p w:rsidR="006B7F21" w:rsidRPr="00065F52" w:rsidRDefault="006B7F21" w:rsidP="006B7F21">
      <w:pPr>
        <w:spacing w:line="560" w:lineRule="exact"/>
        <w:ind w:firstLineChars="200" w:firstLine="640"/>
        <w:rPr>
          <w:rFonts w:ascii="仿宋_GB2312" w:eastAsia="仿宋_GB2312" w:hAnsi="宋体"/>
          <w:sz w:val="32"/>
          <w:szCs w:val="32"/>
        </w:rPr>
      </w:pPr>
      <w:r w:rsidRPr="00065F52">
        <w:rPr>
          <w:rFonts w:ascii="仿宋_GB2312" w:eastAsia="仿宋_GB2312" w:hAnsi="宋体" w:hint="eastAsia"/>
          <w:sz w:val="32"/>
          <w:szCs w:val="32"/>
        </w:rPr>
        <w:t>执行异议与执行异议之诉是诉讼保全或强制执行过程中，案外人对于被保全或被执行的标的物提出异议，主张对该标的物享有实体权益而引发的一类案件类型。在执行过程中，标的物公示的权利状态与其实际权利状态有时存在差异，机械的推进执行程序，按照权利公示状态对标的物采取强制执行措施，</w:t>
      </w:r>
      <w:r w:rsidR="00E74E54" w:rsidRPr="00FE0400">
        <w:rPr>
          <w:rFonts w:ascii="仿宋_GB2312" w:eastAsia="仿宋_GB2312" w:hAnsi="宋体" w:hint="eastAsia"/>
          <w:sz w:val="32"/>
          <w:szCs w:val="32"/>
        </w:rPr>
        <w:t>可能</w:t>
      </w:r>
      <w:r w:rsidRPr="00FE0400">
        <w:rPr>
          <w:rFonts w:ascii="仿宋_GB2312" w:eastAsia="仿宋_GB2312" w:hAnsi="宋体" w:hint="eastAsia"/>
          <w:sz w:val="32"/>
          <w:szCs w:val="32"/>
        </w:rPr>
        <w:t>侵害</w:t>
      </w:r>
      <w:r w:rsidRPr="00065F52">
        <w:rPr>
          <w:rFonts w:ascii="仿宋_GB2312" w:eastAsia="仿宋_GB2312" w:hAnsi="宋体" w:hint="eastAsia"/>
          <w:sz w:val="32"/>
          <w:szCs w:val="32"/>
        </w:rPr>
        <w:t>实际权利人的合法权益。因此，我国民事诉讼法中专门规定了案外人执行异议之诉的诉讼程序，用以规范执行、保全程序，避免当事人的合法权益受到侵害。</w:t>
      </w:r>
    </w:p>
    <w:p w:rsidR="006B7F21" w:rsidRPr="00065F52" w:rsidRDefault="006B7F21" w:rsidP="006B7F21">
      <w:pPr>
        <w:spacing w:line="560" w:lineRule="exact"/>
        <w:ind w:firstLineChars="200" w:firstLine="640"/>
        <w:rPr>
          <w:rFonts w:ascii="仿宋_GB2312" w:eastAsia="仿宋_GB2312" w:hAnsi="宋体"/>
          <w:sz w:val="32"/>
          <w:szCs w:val="32"/>
        </w:rPr>
      </w:pPr>
      <w:r w:rsidRPr="00065F52">
        <w:rPr>
          <w:rFonts w:ascii="仿宋_GB2312" w:eastAsia="仿宋_GB2312" w:hAnsi="宋体" w:hint="eastAsia"/>
          <w:sz w:val="32"/>
          <w:szCs w:val="32"/>
        </w:rPr>
        <w:t>执行异议与执行异议之诉在诉讼程序中，是法院对案外人执行异议进行处理的两个诉讼阶段。案外人提出执行异议之后，先由执行部门对案外人异议进行程序审查，确定属于</w:t>
      </w:r>
      <w:r w:rsidRPr="00E05C58">
        <w:rPr>
          <w:rFonts w:ascii="仿宋_GB2312" w:eastAsia="仿宋_GB2312" w:hAnsi="宋体" w:hint="eastAsia"/>
          <w:sz w:val="32"/>
          <w:szCs w:val="32"/>
        </w:rPr>
        <w:t>行为异议</w:t>
      </w:r>
      <w:r w:rsidRPr="00065F52">
        <w:rPr>
          <w:rFonts w:ascii="仿宋_GB2312" w:eastAsia="仿宋_GB2312" w:hAnsi="宋体" w:hint="eastAsia"/>
          <w:sz w:val="32"/>
          <w:szCs w:val="32"/>
        </w:rPr>
        <w:t>还是实体异议。经审查，属于实体异议，当事人可以在收到执行审查裁定后，提出执行异议之诉。属于行为异议的，当事人需要通过执行复议程序处理。执行实体异议与执行行为异议针对的审查标的存在本质上的不同。两者之间的区别详见下表：</w:t>
      </w:r>
    </w:p>
    <w:p w:rsidR="003B57C8" w:rsidRDefault="003B57C8" w:rsidP="006B7F21">
      <w:pPr>
        <w:spacing w:line="560" w:lineRule="exact"/>
        <w:ind w:firstLineChars="200" w:firstLine="640"/>
        <w:rPr>
          <w:rFonts w:ascii="仿宋_GB2312" w:eastAsia="仿宋_GB2312" w:hAnsi="宋体"/>
          <w:sz w:val="32"/>
          <w:szCs w:val="32"/>
        </w:rPr>
      </w:pPr>
      <w:r>
        <w:rPr>
          <w:rFonts w:ascii="仿宋_GB2312" w:eastAsia="仿宋_GB2312" w:hAnsi="宋体" w:hint="eastAsia"/>
          <w:noProof/>
          <w:sz w:val="32"/>
          <w:szCs w:val="32"/>
        </w:rPr>
        <w:drawing>
          <wp:anchor distT="48768" distB="16510" distL="224028" distR="195072" simplePos="0" relativeHeight="251697152" behindDoc="0" locked="0" layoutInCell="1" allowOverlap="1">
            <wp:simplePos x="0" y="0"/>
            <wp:positionH relativeFrom="column">
              <wp:posOffset>374650</wp:posOffset>
            </wp:positionH>
            <wp:positionV relativeFrom="paragraph">
              <wp:posOffset>120015</wp:posOffset>
            </wp:positionV>
            <wp:extent cx="4597400" cy="2305050"/>
            <wp:effectExtent l="0" t="0" r="0" b="0"/>
            <wp:wrapNone/>
            <wp:docPr id="13" name="对象 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297988" cy="4400550"/>
                      <a:chOff x="1381125" y="1350963"/>
                      <a:chExt cx="9297988" cy="4400550"/>
                    </a:xfrm>
                  </a:grpSpPr>
                  <a:sp>
                    <a:nvSpPr>
                      <a:cNvPr id="26626" name="TextBox 2"/>
                      <a:cNvSpPr txBox="1">
                        <a:spLocks noChangeArrowheads="1"/>
                      </a:cNvSpPr>
                    </a:nvSpPr>
                    <a:spPr bwMode="auto">
                      <a:xfrm>
                        <a:off x="1381125" y="5213350"/>
                        <a:ext cx="1979613" cy="523875"/>
                      </a:xfrm>
                      <a:prstGeom prst="rect">
                        <a:avLst/>
                      </a:prstGeom>
                      <a:noFill/>
                      <a:ln w="28575">
                        <a:solidFill>
                          <a:schemeClr val="tx1"/>
                        </a:solid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r>
                            <a:rPr lang="zh-CN" altLang="en-US" sz="2800">
                              <a:latin typeface="Tw Cen MT"/>
                            </a:rPr>
                            <a:t>申请执行人</a:t>
                          </a:r>
                        </a:p>
                      </a:txBody>
                      <a:useSpRect/>
                    </a:txSp>
                  </a:sp>
                  <a:sp>
                    <a:nvSpPr>
                      <a:cNvPr id="26627" name="TextBox 4"/>
                      <a:cNvSpPr txBox="1">
                        <a:spLocks noChangeArrowheads="1"/>
                      </a:cNvSpPr>
                    </a:nvSpPr>
                    <a:spPr bwMode="auto">
                      <a:xfrm>
                        <a:off x="4322763" y="5210175"/>
                        <a:ext cx="1620837" cy="523875"/>
                      </a:xfrm>
                      <a:prstGeom prst="rect">
                        <a:avLst/>
                      </a:prstGeom>
                      <a:noFill/>
                      <a:ln w="28575">
                        <a:solidFill>
                          <a:schemeClr val="tx1"/>
                        </a:solid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r>
                            <a:rPr lang="zh-CN" altLang="en-US" sz="2800">
                              <a:latin typeface="Tw Cen MT"/>
                            </a:rPr>
                            <a:t>争议标的</a:t>
                          </a:r>
                        </a:p>
                      </a:txBody>
                      <a:useSpRect/>
                    </a:txSp>
                  </a:sp>
                  <a:sp>
                    <a:nvSpPr>
                      <a:cNvPr id="26628" name="TextBox 7"/>
                      <a:cNvSpPr txBox="1">
                        <a:spLocks noChangeArrowheads="1"/>
                      </a:cNvSpPr>
                    </a:nvSpPr>
                    <a:spPr bwMode="auto">
                      <a:xfrm>
                        <a:off x="6784975" y="5229225"/>
                        <a:ext cx="1620838" cy="522288"/>
                      </a:xfrm>
                      <a:prstGeom prst="rect">
                        <a:avLst/>
                      </a:prstGeom>
                      <a:noFill/>
                      <a:ln w="28575">
                        <a:solidFill>
                          <a:schemeClr val="tx1"/>
                        </a:solid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r>
                            <a:rPr lang="zh-CN" altLang="en-US" sz="2800">
                              <a:latin typeface="Tw Cen MT"/>
                            </a:rPr>
                            <a:t>被执行人</a:t>
                          </a:r>
                        </a:p>
                      </a:txBody>
                      <a:useSpRect/>
                    </a:txSp>
                  </a:sp>
                  <a:cxnSp>
                    <a:nvCxnSpPr>
                      <a:cNvPr id="10" name="直接箭头连接符 9"/>
                      <a:cNvCxnSpPr>
                        <a:stCxn id="26626" idx="3"/>
                        <a:endCxn id="26627" idx="1"/>
                      </a:cNvCxnSpPr>
                    </a:nvCxnSpPr>
                    <a:spPr>
                      <a:xfrm flipV="1">
                        <a:off x="3360738" y="5472113"/>
                        <a:ext cx="962025" cy="3175"/>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cxnSp>
                    <a:nvCxnSpPr>
                      <a:cNvPr id="12" name="直接箭头连接符 11"/>
                      <a:cNvCxnSpPr>
                        <a:stCxn id="26628" idx="1"/>
                        <a:endCxn id="26627" idx="3"/>
                      </a:cNvCxnSpPr>
                    </a:nvCxnSpPr>
                    <a:spPr>
                      <a:xfrm rot="10800000">
                        <a:off x="5943600" y="5472113"/>
                        <a:ext cx="841375" cy="17462"/>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sp>
                    <a:nvSpPr>
                      <a:cNvPr id="26631" name="TextBox 13"/>
                      <a:cNvSpPr txBox="1">
                        <a:spLocks noChangeArrowheads="1"/>
                      </a:cNvSpPr>
                    </a:nvSpPr>
                    <a:spPr bwMode="auto">
                      <a:xfrm>
                        <a:off x="3305175" y="3595688"/>
                        <a:ext cx="3776663" cy="523875"/>
                      </a:xfrm>
                      <a:prstGeom prst="rect">
                        <a:avLst/>
                      </a:prstGeom>
                      <a:noFill/>
                      <a:ln w="28575">
                        <a:solidFill>
                          <a:schemeClr val="tx1"/>
                        </a:solid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r>
                            <a:rPr lang="zh-CN" altLang="en-US" sz="2800">
                              <a:latin typeface="Tw Cen MT"/>
                            </a:rPr>
                            <a:t>被执行人名下其他财产</a:t>
                          </a:r>
                        </a:p>
                      </a:txBody>
                      <a:useSpRect/>
                    </a:txSp>
                  </a:sp>
                  <a:cxnSp>
                    <a:nvCxnSpPr>
                      <a:cNvPr id="18" name="直接箭头连接符 17"/>
                      <a:cNvCxnSpPr>
                        <a:stCxn id="26626" idx="0"/>
                        <a:endCxn id="26631" idx="2"/>
                      </a:cNvCxnSpPr>
                    </a:nvCxnSpPr>
                    <a:spPr>
                      <a:xfrm rot="5400000" flipH="1" flipV="1">
                        <a:off x="3235325" y="3254376"/>
                        <a:ext cx="1093787" cy="2824162"/>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cxnSp>
                    <a:nvCxnSpPr>
                      <a:cNvPr id="20" name="直接箭头连接符 19"/>
                      <a:cNvCxnSpPr>
                        <a:stCxn id="26631" idx="2"/>
                        <a:endCxn id="26628" idx="0"/>
                      </a:cNvCxnSpPr>
                    </a:nvCxnSpPr>
                    <a:spPr>
                      <a:xfrm rot="16200000" flipH="1">
                        <a:off x="5839619" y="3474244"/>
                        <a:ext cx="1109662" cy="2400300"/>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sp>
                    <a:nvSpPr>
                      <a:cNvPr id="26634" name="TextBox 25"/>
                      <a:cNvSpPr txBox="1">
                        <a:spLocks noChangeArrowheads="1"/>
                      </a:cNvSpPr>
                    </a:nvSpPr>
                    <a:spPr bwMode="auto">
                      <a:xfrm>
                        <a:off x="9417050" y="3552825"/>
                        <a:ext cx="1262063" cy="522288"/>
                      </a:xfrm>
                      <a:prstGeom prst="rect">
                        <a:avLst/>
                      </a:prstGeom>
                      <a:noFill/>
                      <a:ln w="28575">
                        <a:solidFill>
                          <a:schemeClr val="tx1"/>
                        </a:solid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r>
                            <a:rPr lang="zh-CN" altLang="en-US" sz="2800">
                              <a:latin typeface="Tw Cen MT"/>
                            </a:rPr>
                            <a:t>案外人</a:t>
                          </a:r>
                        </a:p>
                      </a:txBody>
                      <a:useSpRect/>
                    </a:txSp>
                  </a:sp>
                  <a:cxnSp>
                    <a:nvCxnSpPr>
                      <a:cNvPr id="28" name="直接箭头连接符 27"/>
                      <a:cNvCxnSpPr>
                        <a:endCxn id="26631" idx="3"/>
                      </a:cNvCxnSpPr>
                    </a:nvCxnSpPr>
                    <a:spPr>
                      <a:xfrm rot="10800000" flipV="1">
                        <a:off x="7081838" y="3848100"/>
                        <a:ext cx="2343150" cy="9525"/>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sp>
                    <a:nvSpPr>
                      <a:cNvPr id="26636" name="TextBox 28"/>
                      <a:cNvSpPr txBox="1">
                        <a:spLocks noChangeArrowheads="1"/>
                      </a:cNvSpPr>
                    </a:nvSpPr>
                    <a:spPr bwMode="auto">
                      <a:xfrm>
                        <a:off x="2287588" y="4467225"/>
                        <a:ext cx="3206327" cy="646331"/>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r>
                            <a:rPr lang="zh-CN" altLang="en-US" b="1" dirty="0" smtClean="0">
                              <a:latin typeface="Tw Cen MT"/>
                            </a:rPr>
                            <a:t>查封、扣押、冻结等执行措施</a:t>
                          </a:r>
                          <a:endParaRPr lang="en-US" altLang="zh-CN" b="1" dirty="0" smtClean="0">
                            <a:latin typeface="Tw Cen MT"/>
                          </a:endParaRPr>
                        </a:p>
                        <a:p>
                          <a:r>
                            <a:rPr lang="zh-CN" altLang="en-US" b="1" dirty="0" smtClean="0">
                              <a:latin typeface="Tw Cen MT"/>
                            </a:rPr>
                            <a:t>拍卖、变卖等执行处置行为</a:t>
                          </a:r>
                          <a:endParaRPr lang="zh-CN" altLang="en-US" b="1" dirty="0">
                            <a:latin typeface="Tw Cen MT"/>
                          </a:endParaRPr>
                        </a:p>
                      </a:txBody>
                      <a:useSpRect/>
                    </a:txSp>
                  </a:sp>
                  <a:sp>
                    <a:nvSpPr>
                      <a:cNvPr id="26637" name="TextBox 29"/>
                      <a:cNvSpPr txBox="1">
                        <a:spLocks noChangeArrowheads="1"/>
                      </a:cNvSpPr>
                    </a:nvSpPr>
                    <a:spPr bwMode="auto">
                      <a:xfrm>
                        <a:off x="7491413" y="3859213"/>
                        <a:ext cx="1570037" cy="36988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r>
                            <a:rPr lang="zh-CN" altLang="en-US" b="1">
                              <a:latin typeface="Tw Cen MT"/>
                            </a:rPr>
                            <a:t>主张实体权利</a:t>
                          </a:r>
                        </a:p>
                      </a:txBody>
                      <a:useSpRect/>
                    </a:txSp>
                  </a:sp>
                  <a:cxnSp>
                    <a:nvCxnSpPr>
                      <a:cNvPr id="49" name="直接箭头连接符 48"/>
                      <a:cNvCxnSpPr/>
                    </a:nvCxnSpPr>
                    <a:spPr>
                      <a:xfrm rot="16200000" flipV="1">
                        <a:off x="7869238" y="3498850"/>
                        <a:ext cx="730250" cy="9525"/>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sp>
                    <a:nvSpPr>
                      <a:cNvPr id="26639" name="TextBox 49"/>
                      <a:cNvSpPr txBox="1">
                        <a:spLocks noChangeArrowheads="1"/>
                      </a:cNvSpPr>
                    </a:nvSpPr>
                    <a:spPr bwMode="auto">
                      <a:xfrm>
                        <a:off x="7045325" y="2614613"/>
                        <a:ext cx="2339975" cy="522287"/>
                      </a:xfrm>
                      <a:prstGeom prst="rect">
                        <a:avLst/>
                      </a:prstGeom>
                      <a:noFill/>
                      <a:ln w="28575">
                        <a:solidFill>
                          <a:schemeClr val="tx1"/>
                        </a:solid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r>
                            <a:rPr lang="zh-CN" altLang="en-US" sz="2800">
                              <a:latin typeface="Tw Cen MT"/>
                            </a:rPr>
                            <a:t>执行实体异议</a:t>
                          </a:r>
                        </a:p>
                      </a:txBody>
                      <a:useSpRect/>
                    </a:txSp>
                  </a:sp>
                  <a:sp>
                    <a:nvSpPr>
                      <a:cNvPr id="26641" name="TextBox 16"/>
                      <a:cNvSpPr txBox="1">
                        <a:spLocks noChangeArrowheads="1"/>
                      </a:cNvSpPr>
                    </a:nvSpPr>
                    <a:spPr bwMode="auto">
                      <a:xfrm>
                        <a:off x="6951663" y="1350963"/>
                        <a:ext cx="2339975" cy="523875"/>
                      </a:xfrm>
                      <a:prstGeom prst="rect">
                        <a:avLst/>
                      </a:prstGeom>
                      <a:noFill/>
                      <a:ln w="28575">
                        <a:solidFill>
                          <a:schemeClr val="tx1"/>
                        </a:solid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r>
                            <a:rPr lang="zh-CN" altLang="en-US" sz="2800">
                              <a:latin typeface="Tw Cen MT"/>
                            </a:rPr>
                            <a:t>执行异议之诉</a:t>
                          </a:r>
                        </a:p>
                      </a:txBody>
                      <a:useSpRect/>
                    </a:txSp>
                  </a:sp>
                  <a:cxnSp>
                    <a:nvCxnSpPr>
                      <a:cNvPr id="21" name="直接箭头连接符 20"/>
                      <a:cNvCxnSpPr/>
                    </a:nvCxnSpPr>
                    <a:spPr>
                      <a:xfrm rot="16200000" flipV="1">
                        <a:off x="7811294" y="2235994"/>
                        <a:ext cx="728663" cy="9525"/>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lc:lockedCanvas>
              </a:graphicData>
            </a:graphic>
          </wp:anchor>
        </w:drawing>
      </w:r>
    </w:p>
    <w:p w:rsidR="003B57C8" w:rsidRDefault="003B57C8" w:rsidP="006B7F21">
      <w:pPr>
        <w:spacing w:line="560" w:lineRule="exact"/>
        <w:ind w:firstLineChars="200" w:firstLine="640"/>
        <w:rPr>
          <w:rFonts w:ascii="仿宋_GB2312" w:eastAsia="仿宋_GB2312" w:hAnsi="宋体"/>
          <w:sz w:val="32"/>
          <w:szCs w:val="32"/>
        </w:rPr>
      </w:pPr>
    </w:p>
    <w:p w:rsidR="003B57C8" w:rsidRDefault="003B57C8" w:rsidP="006B7F21">
      <w:pPr>
        <w:spacing w:line="560" w:lineRule="exact"/>
        <w:ind w:firstLineChars="200" w:firstLine="640"/>
        <w:rPr>
          <w:rFonts w:ascii="仿宋_GB2312" w:eastAsia="仿宋_GB2312" w:hAnsi="宋体"/>
          <w:sz w:val="32"/>
          <w:szCs w:val="32"/>
        </w:rPr>
      </w:pPr>
    </w:p>
    <w:p w:rsidR="003B57C8" w:rsidRDefault="003B57C8" w:rsidP="006B7F21">
      <w:pPr>
        <w:spacing w:line="560" w:lineRule="exact"/>
        <w:ind w:firstLineChars="200" w:firstLine="640"/>
        <w:rPr>
          <w:rFonts w:ascii="仿宋_GB2312" w:eastAsia="仿宋_GB2312" w:hAnsi="宋体"/>
          <w:sz w:val="32"/>
          <w:szCs w:val="32"/>
        </w:rPr>
      </w:pPr>
    </w:p>
    <w:p w:rsidR="003B57C8" w:rsidRDefault="003B57C8" w:rsidP="006B7F21">
      <w:pPr>
        <w:spacing w:line="560" w:lineRule="exact"/>
        <w:ind w:firstLineChars="200" w:firstLine="640"/>
        <w:jc w:val="center"/>
        <w:rPr>
          <w:rFonts w:ascii="仿宋_GB2312" w:eastAsia="仿宋_GB2312" w:hAnsi="宋体"/>
          <w:sz w:val="32"/>
          <w:szCs w:val="32"/>
        </w:rPr>
      </w:pPr>
    </w:p>
    <w:p w:rsidR="003B57C8" w:rsidRDefault="003B57C8" w:rsidP="006B7F21">
      <w:pPr>
        <w:spacing w:line="560" w:lineRule="exact"/>
        <w:ind w:firstLineChars="200" w:firstLine="640"/>
        <w:jc w:val="center"/>
        <w:rPr>
          <w:rFonts w:ascii="仿宋_GB2312" w:eastAsia="仿宋_GB2312" w:hAnsi="宋体"/>
          <w:sz w:val="32"/>
          <w:szCs w:val="32"/>
        </w:rPr>
      </w:pPr>
    </w:p>
    <w:p w:rsidR="003B57C8" w:rsidRDefault="003B57C8" w:rsidP="006B7F21">
      <w:pPr>
        <w:spacing w:line="560" w:lineRule="exact"/>
        <w:ind w:firstLineChars="200" w:firstLine="640"/>
        <w:jc w:val="center"/>
        <w:rPr>
          <w:rFonts w:ascii="仿宋_GB2312" w:eastAsia="仿宋_GB2312" w:hAnsi="宋体"/>
          <w:sz w:val="32"/>
          <w:szCs w:val="32"/>
        </w:rPr>
      </w:pPr>
    </w:p>
    <w:p w:rsidR="003B57C8" w:rsidRDefault="003B57C8" w:rsidP="006B7F21">
      <w:pPr>
        <w:spacing w:line="560" w:lineRule="exact"/>
        <w:ind w:firstLineChars="200" w:firstLine="640"/>
        <w:jc w:val="center"/>
        <w:rPr>
          <w:rFonts w:ascii="仿宋_GB2312" w:eastAsia="仿宋_GB2312" w:hAnsi="宋体"/>
          <w:sz w:val="32"/>
          <w:szCs w:val="32"/>
        </w:rPr>
      </w:pPr>
      <w:r>
        <w:rPr>
          <w:rFonts w:ascii="仿宋_GB2312" w:eastAsia="仿宋_GB2312" w:hAnsi="宋体" w:hint="eastAsia"/>
          <w:noProof/>
          <w:sz w:val="32"/>
          <w:szCs w:val="32"/>
        </w:rPr>
        <w:lastRenderedPageBreak/>
        <w:drawing>
          <wp:anchor distT="48768" distB="14732" distL="236220" distR="189738" simplePos="0" relativeHeight="251695104" behindDoc="0" locked="0" layoutInCell="1" allowOverlap="1">
            <wp:simplePos x="0" y="0"/>
            <wp:positionH relativeFrom="column">
              <wp:posOffset>311150</wp:posOffset>
            </wp:positionH>
            <wp:positionV relativeFrom="paragraph">
              <wp:posOffset>222250</wp:posOffset>
            </wp:positionV>
            <wp:extent cx="4591050" cy="1962150"/>
            <wp:effectExtent l="0" t="0" r="0" b="0"/>
            <wp:wrapNone/>
            <wp:docPr id="9" name="对象 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59850" cy="3414713"/>
                      <a:chOff x="1617663" y="2406650"/>
                      <a:chExt cx="8959850" cy="3414713"/>
                    </a:xfrm>
                  </a:grpSpPr>
                  <a:sp>
                    <a:nvSpPr>
                      <a:cNvPr id="27651" name="TextBox 2"/>
                      <a:cNvSpPr txBox="1">
                        <a:spLocks noChangeArrowheads="1"/>
                      </a:cNvSpPr>
                    </a:nvSpPr>
                    <a:spPr bwMode="auto">
                      <a:xfrm>
                        <a:off x="3552825" y="5284788"/>
                        <a:ext cx="1979613" cy="522287"/>
                      </a:xfrm>
                      <a:prstGeom prst="rect">
                        <a:avLst/>
                      </a:prstGeom>
                      <a:noFill/>
                      <a:ln w="28575">
                        <a:solidFill>
                          <a:sysClr val="windowText" lastClr="000000"/>
                        </a:solidFill>
                        <a:miter lim="800000"/>
                        <a:headEnd/>
                        <a:tailEnd/>
                      </a:ln>
                    </a:spPr>
                    <a:txSp>
                      <a:txBody>
                        <a:bodyPr wrap="none">
                          <a:spAutoFit/>
                        </a:bodyPr>
                        <a:lstStyle>
                          <a:defPPr>
                            <a:defRPr lang="en-US"/>
                          </a:defPPr>
                          <a:lvl1pPr algn="l" rtl="0" fontAlgn="base">
                            <a:spcBef>
                              <a:spcPct val="0"/>
                            </a:spcBef>
                            <a:spcAft>
                              <a:spcPct val="0"/>
                            </a:spcAft>
                            <a:defRPr kern="1200">
                              <a:solidFill>
                                <a:sysClr val="windowText" lastClr="000000"/>
                              </a:solidFill>
                              <a:latin typeface="Arial" pitchFamily="34" charset="0"/>
                              <a:ea typeface="宋体" pitchFamily="2" charset="-122"/>
                            </a:defRPr>
                          </a:lvl1pPr>
                          <a:lvl2pPr marL="457200" algn="l" rtl="0" fontAlgn="base">
                            <a:spcBef>
                              <a:spcPct val="0"/>
                            </a:spcBef>
                            <a:spcAft>
                              <a:spcPct val="0"/>
                            </a:spcAft>
                            <a:defRPr kern="1200">
                              <a:solidFill>
                                <a:sysClr val="windowText" lastClr="000000"/>
                              </a:solidFill>
                              <a:latin typeface="Arial" pitchFamily="34" charset="0"/>
                              <a:ea typeface="宋体" pitchFamily="2" charset="-122"/>
                            </a:defRPr>
                          </a:lvl2pPr>
                          <a:lvl3pPr marL="914400" algn="l" rtl="0" fontAlgn="base">
                            <a:spcBef>
                              <a:spcPct val="0"/>
                            </a:spcBef>
                            <a:spcAft>
                              <a:spcPct val="0"/>
                            </a:spcAft>
                            <a:defRPr kern="1200">
                              <a:solidFill>
                                <a:sysClr val="windowText" lastClr="000000"/>
                              </a:solidFill>
                              <a:latin typeface="Arial" pitchFamily="34" charset="0"/>
                              <a:ea typeface="宋体" pitchFamily="2" charset="-122"/>
                            </a:defRPr>
                          </a:lvl3pPr>
                          <a:lvl4pPr marL="1371600" algn="l" rtl="0" fontAlgn="base">
                            <a:spcBef>
                              <a:spcPct val="0"/>
                            </a:spcBef>
                            <a:spcAft>
                              <a:spcPct val="0"/>
                            </a:spcAft>
                            <a:defRPr kern="1200">
                              <a:solidFill>
                                <a:sysClr val="windowText" lastClr="000000"/>
                              </a:solidFill>
                              <a:latin typeface="Arial" pitchFamily="34" charset="0"/>
                              <a:ea typeface="宋体" pitchFamily="2" charset="-122"/>
                            </a:defRPr>
                          </a:lvl4pPr>
                          <a:lvl5pPr marL="1828800" algn="l" rtl="0" fontAlgn="base">
                            <a:spcBef>
                              <a:spcPct val="0"/>
                            </a:spcBef>
                            <a:spcAft>
                              <a:spcPct val="0"/>
                            </a:spcAft>
                            <a:defRPr kern="1200">
                              <a:solidFill>
                                <a:sysClr val="windowText" lastClr="000000"/>
                              </a:solidFill>
                              <a:latin typeface="Arial" pitchFamily="34" charset="0"/>
                              <a:ea typeface="宋体" pitchFamily="2" charset="-122"/>
                            </a:defRPr>
                          </a:lvl5pPr>
                          <a:lvl6pPr marL="2286000" algn="l" defTabSz="914400" rtl="0" eaLnBrk="1" latinLnBrk="0" hangingPunct="1">
                            <a:defRPr kern="1200">
                              <a:solidFill>
                                <a:sysClr val="windowText" lastClr="000000"/>
                              </a:solidFill>
                              <a:latin typeface="Arial" pitchFamily="34" charset="0"/>
                              <a:ea typeface="宋体" pitchFamily="2" charset="-122"/>
                            </a:defRPr>
                          </a:lvl6pPr>
                          <a:lvl7pPr marL="2743200" algn="l" defTabSz="914400" rtl="0" eaLnBrk="1" latinLnBrk="0" hangingPunct="1">
                            <a:defRPr kern="1200">
                              <a:solidFill>
                                <a:sysClr val="windowText" lastClr="000000"/>
                              </a:solidFill>
                              <a:latin typeface="Arial" pitchFamily="34" charset="0"/>
                              <a:ea typeface="宋体" pitchFamily="2" charset="-122"/>
                            </a:defRPr>
                          </a:lvl7pPr>
                          <a:lvl8pPr marL="3200400" algn="l" defTabSz="914400" rtl="0" eaLnBrk="1" latinLnBrk="0" hangingPunct="1">
                            <a:defRPr kern="1200">
                              <a:solidFill>
                                <a:sysClr val="windowText" lastClr="000000"/>
                              </a:solidFill>
                              <a:latin typeface="Arial" pitchFamily="34" charset="0"/>
                              <a:ea typeface="宋体" pitchFamily="2" charset="-122"/>
                            </a:defRPr>
                          </a:lvl8pPr>
                          <a:lvl9pPr marL="3657600" algn="l" defTabSz="914400" rtl="0" eaLnBrk="1" latinLnBrk="0" hangingPunct="1">
                            <a:defRPr kern="1200">
                              <a:solidFill>
                                <a:sysClr val="windowText" lastClr="000000"/>
                              </a:solidFill>
                              <a:latin typeface="Arial" pitchFamily="34" charset="0"/>
                              <a:ea typeface="宋体" pitchFamily="2" charset="-122"/>
                            </a:defRPr>
                          </a:lvl9pPr>
                        </a:lstStyle>
                        <a:p>
                          <a:r>
                            <a:rPr lang="zh-CN" altLang="en-US" sz="2800">
                              <a:latin typeface="Tw Cen MT"/>
                            </a:rPr>
                            <a:t>申请执行人</a:t>
                          </a:r>
                        </a:p>
                      </a:txBody>
                      <a:useSpRect/>
                    </a:txSp>
                  </a:sp>
                  <a:sp>
                    <a:nvSpPr>
                      <a:cNvPr id="27652" name="TextBox 3"/>
                      <a:cNvSpPr txBox="1">
                        <a:spLocks noChangeArrowheads="1"/>
                      </a:cNvSpPr>
                    </a:nvSpPr>
                    <a:spPr bwMode="auto">
                      <a:xfrm>
                        <a:off x="6494463" y="5281613"/>
                        <a:ext cx="1620837" cy="522287"/>
                      </a:xfrm>
                      <a:prstGeom prst="rect">
                        <a:avLst/>
                      </a:prstGeom>
                      <a:noFill/>
                      <a:ln w="28575">
                        <a:solidFill>
                          <a:sysClr val="windowText" lastClr="000000"/>
                        </a:solidFill>
                        <a:miter lim="800000"/>
                        <a:headEnd/>
                        <a:tailEnd/>
                      </a:ln>
                    </a:spPr>
                    <a:txSp>
                      <a:txBody>
                        <a:bodyPr wrap="none">
                          <a:spAutoFit/>
                        </a:bodyPr>
                        <a:lstStyle>
                          <a:defPPr>
                            <a:defRPr lang="en-US"/>
                          </a:defPPr>
                          <a:lvl1pPr algn="l" rtl="0" fontAlgn="base">
                            <a:spcBef>
                              <a:spcPct val="0"/>
                            </a:spcBef>
                            <a:spcAft>
                              <a:spcPct val="0"/>
                            </a:spcAft>
                            <a:defRPr kern="1200">
                              <a:solidFill>
                                <a:sysClr val="windowText" lastClr="000000"/>
                              </a:solidFill>
                              <a:latin typeface="Arial" pitchFamily="34" charset="0"/>
                              <a:ea typeface="宋体" pitchFamily="2" charset="-122"/>
                            </a:defRPr>
                          </a:lvl1pPr>
                          <a:lvl2pPr marL="457200" algn="l" rtl="0" fontAlgn="base">
                            <a:spcBef>
                              <a:spcPct val="0"/>
                            </a:spcBef>
                            <a:spcAft>
                              <a:spcPct val="0"/>
                            </a:spcAft>
                            <a:defRPr kern="1200">
                              <a:solidFill>
                                <a:sysClr val="windowText" lastClr="000000"/>
                              </a:solidFill>
                              <a:latin typeface="Arial" pitchFamily="34" charset="0"/>
                              <a:ea typeface="宋体" pitchFamily="2" charset="-122"/>
                            </a:defRPr>
                          </a:lvl2pPr>
                          <a:lvl3pPr marL="914400" algn="l" rtl="0" fontAlgn="base">
                            <a:spcBef>
                              <a:spcPct val="0"/>
                            </a:spcBef>
                            <a:spcAft>
                              <a:spcPct val="0"/>
                            </a:spcAft>
                            <a:defRPr kern="1200">
                              <a:solidFill>
                                <a:sysClr val="windowText" lastClr="000000"/>
                              </a:solidFill>
                              <a:latin typeface="Arial" pitchFamily="34" charset="0"/>
                              <a:ea typeface="宋体" pitchFamily="2" charset="-122"/>
                            </a:defRPr>
                          </a:lvl3pPr>
                          <a:lvl4pPr marL="1371600" algn="l" rtl="0" fontAlgn="base">
                            <a:spcBef>
                              <a:spcPct val="0"/>
                            </a:spcBef>
                            <a:spcAft>
                              <a:spcPct val="0"/>
                            </a:spcAft>
                            <a:defRPr kern="1200">
                              <a:solidFill>
                                <a:sysClr val="windowText" lastClr="000000"/>
                              </a:solidFill>
                              <a:latin typeface="Arial" pitchFamily="34" charset="0"/>
                              <a:ea typeface="宋体" pitchFamily="2" charset="-122"/>
                            </a:defRPr>
                          </a:lvl4pPr>
                          <a:lvl5pPr marL="1828800" algn="l" rtl="0" fontAlgn="base">
                            <a:spcBef>
                              <a:spcPct val="0"/>
                            </a:spcBef>
                            <a:spcAft>
                              <a:spcPct val="0"/>
                            </a:spcAft>
                            <a:defRPr kern="1200">
                              <a:solidFill>
                                <a:sysClr val="windowText" lastClr="000000"/>
                              </a:solidFill>
                              <a:latin typeface="Arial" pitchFamily="34" charset="0"/>
                              <a:ea typeface="宋体" pitchFamily="2" charset="-122"/>
                            </a:defRPr>
                          </a:lvl5pPr>
                          <a:lvl6pPr marL="2286000" algn="l" defTabSz="914400" rtl="0" eaLnBrk="1" latinLnBrk="0" hangingPunct="1">
                            <a:defRPr kern="1200">
                              <a:solidFill>
                                <a:sysClr val="windowText" lastClr="000000"/>
                              </a:solidFill>
                              <a:latin typeface="Arial" pitchFamily="34" charset="0"/>
                              <a:ea typeface="宋体" pitchFamily="2" charset="-122"/>
                            </a:defRPr>
                          </a:lvl6pPr>
                          <a:lvl7pPr marL="2743200" algn="l" defTabSz="914400" rtl="0" eaLnBrk="1" latinLnBrk="0" hangingPunct="1">
                            <a:defRPr kern="1200">
                              <a:solidFill>
                                <a:sysClr val="windowText" lastClr="000000"/>
                              </a:solidFill>
                              <a:latin typeface="Arial" pitchFamily="34" charset="0"/>
                              <a:ea typeface="宋体" pitchFamily="2" charset="-122"/>
                            </a:defRPr>
                          </a:lvl7pPr>
                          <a:lvl8pPr marL="3200400" algn="l" defTabSz="914400" rtl="0" eaLnBrk="1" latinLnBrk="0" hangingPunct="1">
                            <a:defRPr kern="1200">
                              <a:solidFill>
                                <a:sysClr val="windowText" lastClr="000000"/>
                              </a:solidFill>
                              <a:latin typeface="Arial" pitchFamily="34" charset="0"/>
                              <a:ea typeface="宋体" pitchFamily="2" charset="-122"/>
                            </a:defRPr>
                          </a:lvl8pPr>
                          <a:lvl9pPr marL="3657600" algn="l" defTabSz="914400" rtl="0" eaLnBrk="1" latinLnBrk="0" hangingPunct="1">
                            <a:defRPr kern="1200">
                              <a:solidFill>
                                <a:sysClr val="windowText" lastClr="000000"/>
                              </a:solidFill>
                              <a:latin typeface="Arial" pitchFamily="34" charset="0"/>
                              <a:ea typeface="宋体" pitchFamily="2" charset="-122"/>
                            </a:defRPr>
                          </a:lvl9pPr>
                        </a:lstStyle>
                        <a:p>
                          <a:r>
                            <a:rPr lang="zh-CN" altLang="en-US" sz="2800">
                              <a:latin typeface="Tw Cen MT"/>
                            </a:rPr>
                            <a:t>争议标的</a:t>
                          </a:r>
                        </a:p>
                      </a:txBody>
                      <a:useSpRect/>
                    </a:txSp>
                  </a:sp>
                  <a:sp>
                    <a:nvSpPr>
                      <a:cNvPr id="27653" name="TextBox 4"/>
                      <a:cNvSpPr txBox="1">
                        <a:spLocks noChangeArrowheads="1"/>
                      </a:cNvSpPr>
                    </a:nvSpPr>
                    <a:spPr bwMode="auto">
                      <a:xfrm>
                        <a:off x="8956675" y="5299075"/>
                        <a:ext cx="1620838" cy="522288"/>
                      </a:xfrm>
                      <a:prstGeom prst="rect">
                        <a:avLst/>
                      </a:prstGeom>
                      <a:noFill/>
                      <a:ln w="28575">
                        <a:solidFill>
                          <a:sysClr val="windowText" lastClr="000000"/>
                        </a:solidFill>
                        <a:miter lim="800000"/>
                        <a:headEnd/>
                        <a:tailEnd/>
                      </a:ln>
                    </a:spPr>
                    <a:txSp>
                      <a:txBody>
                        <a:bodyPr wrap="none">
                          <a:spAutoFit/>
                        </a:bodyPr>
                        <a:lstStyle>
                          <a:defPPr>
                            <a:defRPr lang="en-US"/>
                          </a:defPPr>
                          <a:lvl1pPr algn="l" rtl="0" fontAlgn="base">
                            <a:spcBef>
                              <a:spcPct val="0"/>
                            </a:spcBef>
                            <a:spcAft>
                              <a:spcPct val="0"/>
                            </a:spcAft>
                            <a:defRPr kern="1200">
                              <a:solidFill>
                                <a:sysClr val="windowText" lastClr="000000"/>
                              </a:solidFill>
                              <a:latin typeface="Arial" pitchFamily="34" charset="0"/>
                              <a:ea typeface="宋体" pitchFamily="2" charset="-122"/>
                            </a:defRPr>
                          </a:lvl1pPr>
                          <a:lvl2pPr marL="457200" algn="l" rtl="0" fontAlgn="base">
                            <a:spcBef>
                              <a:spcPct val="0"/>
                            </a:spcBef>
                            <a:spcAft>
                              <a:spcPct val="0"/>
                            </a:spcAft>
                            <a:defRPr kern="1200">
                              <a:solidFill>
                                <a:sysClr val="windowText" lastClr="000000"/>
                              </a:solidFill>
                              <a:latin typeface="Arial" pitchFamily="34" charset="0"/>
                              <a:ea typeface="宋体" pitchFamily="2" charset="-122"/>
                            </a:defRPr>
                          </a:lvl2pPr>
                          <a:lvl3pPr marL="914400" algn="l" rtl="0" fontAlgn="base">
                            <a:spcBef>
                              <a:spcPct val="0"/>
                            </a:spcBef>
                            <a:spcAft>
                              <a:spcPct val="0"/>
                            </a:spcAft>
                            <a:defRPr kern="1200">
                              <a:solidFill>
                                <a:sysClr val="windowText" lastClr="000000"/>
                              </a:solidFill>
                              <a:latin typeface="Arial" pitchFamily="34" charset="0"/>
                              <a:ea typeface="宋体" pitchFamily="2" charset="-122"/>
                            </a:defRPr>
                          </a:lvl3pPr>
                          <a:lvl4pPr marL="1371600" algn="l" rtl="0" fontAlgn="base">
                            <a:spcBef>
                              <a:spcPct val="0"/>
                            </a:spcBef>
                            <a:spcAft>
                              <a:spcPct val="0"/>
                            </a:spcAft>
                            <a:defRPr kern="1200">
                              <a:solidFill>
                                <a:sysClr val="windowText" lastClr="000000"/>
                              </a:solidFill>
                              <a:latin typeface="Arial" pitchFamily="34" charset="0"/>
                              <a:ea typeface="宋体" pitchFamily="2" charset="-122"/>
                            </a:defRPr>
                          </a:lvl4pPr>
                          <a:lvl5pPr marL="1828800" algn="l" rtl="0" fontAlgn="base">
                            <a:spcBef>
                              <a:spcPct val="0"/>
                            </a:spcBef>
                            <a:spcAft>
                              <a:spcPct val="0"/>
                            </a:spcAft>
                            <a:defRPr kern="1200">
                              <a:solidFill>
                                <a:sysClr val="windowText" lastClr="000000"/>
                              </a:solidFill>
                              <a:latin typeface="Arial" pitchFamily="34" charset="0"/>
                              <a:ea typeface="宋体" pitchFamily="2" charset="-122"/>
                            </a:defRPr>
                          </a:lvl5pPr>
                          <a:lvl6pPr marL="2286000" algn="l" defTabSz="914400" rtl="0" eaLnBrk="1" latinLnBrk="0" hangingPunct="1">
                            <a:defRPr kern="1200">
                              <a:solidFill>
                                <a:sysClr val="windowText" lastClr="000000"/>
                              </a:solidFill>
                              <a:latin typeface="Arial" pitchFamily="34" charset="0"/>
                              <a:ea typeface="宋体" pitchFamily="2" charset="-122"/>
                            </a:defRPr>
                          </a:lvl6pPr>
                          <a:lvl7pPr marL="2743200" algn="l" defTabSz="914400" rtl="0" eaLnBrk="1" latinLnBrk="0" hangingPunct="1">
                            <a:defRPr kern="1200">
                              <a:solidFill>
                                <a:sysClr val="windowText" lastClr="000000"/>
                              </a:solidFill>
                              <a:latin typeface="Arial" pitchFamily="34" charset="0"/>
                              <a:ea typeface="宋体" pitchFamily="2" charset="-122"/>
                            </a:defRPr>
                          </a:lvl7pPr>
                          <a:lvl8pPr marL="3200400" algn="l" defTabSz="914400" rtl="0" eaLnBrk="1" latinLnBrk="0" hangingPunct="1">
                            <a:defRPr kern="1200">
                              <a:solidFill>
                                <a:sysClr val="windowText" lastClr="000000"/>
                              </a:solidFill>
                              <a:latin typeface="Arial" pitchFamily="34" charset="0"/>
                              <a:ea typeface="宋体" pitchFamily="2" charset="-122"/>
                            </a:defRPr>
                          </a:lvl8pPr>
                          <a:lvl9pPr marL="3657600" algn="l" defTabSz="914400" rtl="0" eaLnBrk="1" latinLnBrk="0" hangingPunct="1">
                            <a:defRPr kern="1200">
                              <a:solidFill>
                                <a:sysClr val="windowText" lastClr="000000"/>
                              </a:solidFill>
                              <a:latin typeface="Arial" pitchFamily="34" charset="0"/>
                              <a:ea typeface="宋体" pitchFamily="2" charset="-122"/>
                            </a:defRPr>
                          </a:lvl9pPr>
                        </a:lstStyle>
                        <a:p>
                          <a:r>
                            <a:rPr lang="zh-CN" altLang="en-US" sz="2800">
                              <a:latin typeface="Tw Cen MT"/>
                            </a:rPr>
                            <a:t>被执行人</a:t>
                          </a:r>
                        </a:p>
                      </a:txBody>
                      <a:useSpRect/>
                    </a:txSp>
                  </a:sp>
                  <a:sp>
                    <a:nvSpPr>
                      <a:cNvPr id="27654" name="TextBox 5"/>
                      <a:cNvSpPr txBox="1">
                        <a:spLocks noChangeArrowheads="1"/>
                      </a:cNvSpPr>
                    </a:nvSpPr>
                    <a:spPr bwMode="auto">
                      <a:xfrm>
                        <a:off x="5476875" y="3667125"/>
                        <a:ext cx="3776663" cy="522288"/>
                      </a:xfrm>
                      <a:prstGeom prst="rect">
                        <a:avLst/>
                      </a:prstGeom>
                      <a:noFill/>
                      <a:ln w="28575">
                        <a:solidFill>
                          <a:sysClr val="windowText" lastClr="000000"/>
                        </a:solidFill>
                        <a:miter lim="800000"/>
                        <a:headEnd/>
                        <a:tailEnd/>
                      </a:ln>
                    </a:spPr>
                    <a:txSp>
                      <a:txBody>
                        <a:bodyPr wrap="none">
                          <a:spAutoFit/>
                        </a:bodyPr>
                        <a:lstStyle>
                          <a:defPPr>
                            <a:defRPr lang="en-US"/>
                          </a:defPPr>
                          <a:lvl1pPr algn="l" rtl="0" fontAlgn="base">
                            <a:spcBef>
                              <a:spcPct val="0"/>
                            </a:spcBef>
                            <a:spcAft>
                              <a:spcPct val="0"/>
                            </a:spcAft>
                            <a:defRPr kern="1200">
                              <a:solidFill>
                                <a:sysClr val="windowText" lastClr="000000"/>
                              </a:solidFill>
                              <a:latin typeface="Arial" pitchFamily="34" charset="0"/>
                              <a:ea typeface="宋体" pitchFamily="2" charset="-122"/>
                            </a:defRPr>
                          </a:lvl1pPr>
                          <a:lvl2pPr marL="457200" algn="l" rtl="0" fontAlgn="base">
                            <a:spcBef>
                              <a:spcPct val="0"/>
                            </a:spcBef>
                            <a:spcAft>
                              <a:spcPct val="0"/>
                            </a:spcAft>
                            <a:defRPr kern="1200">
                              <a:solidFill>
                                <a:sysClr val="windowText" lastClr="000000"/>
                              </a:solidFill>
                              <a:latin typeface="Arial" pitchFamily="34" charset="0"/>
                              <a:ea typeface="宋体" pitchFamily="2" charset="-122"/>
                            </a:defRPr>
                          </a:lvl2pPr>
                          <a:lvl3pPr marL="914400" algn="l" rtl="0" fontAlgn="base">
                            <a:spcBef>
                              <a:spcPct val="0"/>
                            </a:spcBef>
                            <a:spcAft>
                              <a:spcPct val="0"/>
                            </a:spcAft>
                            <a:defRPr kern="1200">
                              <a:solidFill>
                                <a:sysClr val="windowText" lastClr="000000"/>
                              </a:solidFill>
                              <a:latin typeface="Arial" pitchFamily="34" charset="0"/>
                              <a:ea typeface="宋体" pitchFamily="2" charset="-122"/>
                            </a:defRPr>
                          </a:lvl3pPr>
                          <a:lvl4pPr marL="1371600" algn="l" rtl="0" fontAlgn="base">
                            <a:spcBef>
                              <a:spcPct val="0"/>
                            </a:spcBef>
                            <a:spcAft>
                              <a:spcPct val="0"/>
                            </a:spcAft>
                            <a:defRPr kern="1200">
                              <a:solidFill>
                                <a:sysClr val="windowText" lastClr="000000"/>
                              </a:solidFill>
                              <a:latin typeface="Arial" pitchFamily="34" charset="0"/>
                              <a:ea typeface="宋体" pitchFamily="2" charset="-122"/>
                            </a:defRPr>
                          </a:lvl4pPr>
                          <a:lvl5pPr marL="1828800" algn="l" rtl="0" fontAlgn="base">
                            <a:spcBef>
                              <a:spcPct val="0"/>
                            </a:spcBef>
                            <a:spcAft>
                              <a:spcPct val="0"/>
                            </a:spcAft>
                            <a:defRPr kern="1200">
                              <a:solidFill>
                                <a:sysClr val="windowText" lastClr="000000"/>
                              </a:solidFill>
                              <a:latin typeface="Arial" pitchFamily="34" charset="0"/>
                              <a:ea typeface="宋体" pitchFamily="2" charset="-122"/>
                            </a:defRPr>
                          </a:lvl5pPr>
                          <a:lvl6pPr marL="2286000" algn="l" defTabSz="914400" rtl="0" eaLnBrk="1" latinLnBrk="0" hangingPunct="1">
                            <a:defRPr kern="1200">
                              <a:solidFill>
                                <a:sysClr val="windowText" lastClr="000000"/>
                              </a:solidFill>
                              <a:latin typeface="Arial" pitchFamily="34" charset="0"/>
                              <a:ea typeface="宋体" pitchFamily="2" charset="-122"/>
                            </a:defRPr>
                          </a:lvl6pPr>
                          <a:lvl7pPr marL="2743200" algn="l" defTabSz="914400" rtl="0" eaLnBrk="1" latinLnBrk="0" hangingPunct="1">
                            <a:defRPr kern="1200">
                              <a:solidFill>
                                <a:sysClr val="windowText" lastClr="000000"/>
                              </a:solidFill>
                              <a:latin typeface="Arial" pitchFamily="34" charset="0"/>
                              <a:ea typeface="宋体" pitchFamily="2" charset="-122"/>
                            </a:defRPr>
                          </a:lvl7pPr>
                          <a:lvl8pPr marL="3200400" algn="l" defTabSz="914400" rtl="0" eaLnBrk="1" latinLnBrk="0" hangingPunct="1">
                            <a:defRPr kern="1200">
                              <a:solidFill>
                                <a:sysClr val="windowText" lastClr="000000"/>
                              </a:solidFill>
                              <a:latin typeface="Arial" pitchFamily="34" charset="0"/>
                              <a:ea typeface="宋体" pitchFamily="2" charset="-122"/>
                            </a:defRPr>
                          </a:lvl8pPr>
                          <a:lvl9pPr marL="3657600" algn="l" defTabSz="914400" rtl="0" eaLnBrk="1" latinLnBrk="0" hangingPunct="1">
                            <a:defRPr kern="1200">
                              <a:solidFill>
                                <a:sysClr val="windowText" lastClr="000000"/>
                              </a:solidFill>
                              <a:latin typeface="Arial" pitchFamily="34" charset="0"/>
                              <a:ea typeface="宋体" pitchFamily="2" charset="-122"/>
                            </a:defRPr>
                          </a:lvl9pPr>
                        </a:lstStyle>
                        <a:p>
                          <a:r>
                            <a:rPr lang="zh-CN" altLang="en-US" sz="2800">
                              <a:latin typeface="Tw Cen MT"/>
                            </a:rPr>
                            <a:t>被执行人名下其他财产</a:t>
                          </a:r>
                        </a:p>
                      </a:txBody>
                      <a:useSpRect/>
                    </a:txSp>
                  </a:sp>
                  <a:sp>
                    <a:nvSpPr>
                      <a:cNvPr id="27655" name="TextBox 6"/>
                      <a:cNvSpPr txBox="1">
                        <a:spLocks noChangeArrowheads="1"/>
                      </a:cNvSpPr>
                    </a:nvSpPr>
                    <a:spPr bwMode="auto">
                      <a:xfrm>
                        <a:off x="4133850" y="4457700"/>
                        <a:ext cx="3206750" cy="646113"/>
                      </a:xfrm>
                      <a:prstGeom prst="rect">
                        <a:avLst/>
                      </a:prstGeom>
                      <a:noFill/>
                      <a:ln w="19050">
                        <a:solidFill>
                          <a:sysClr val="windowText" lastClr="000000"/>
                        </a:solidFill>
                        <a:miter lim="800000"/>
                        <a:headEnd/>
                        <a:tailEnd/>
                      </a:ln>
                    </a:spPr>
                    <a:txSp>
                      <a:txBody>
                        <a:bodyPr wrap="none">
                          <a:spAutoFit/>
                        </a:bodyPr>
                        <a:lstStyle>
                          <a:defPPr>
                            <a:defRPr lang="en-US"/>
                          </a:defPPr>
                          <a:lvl1pPr algn="l" rtl="0" fontAlgn="base">
                            <a:spcBef>
                              <a:spcPct val="0"/>
                            </a:spcBef>
                            <a:spcAft>
                              <a:spcPct val="0"/>
                            </a:spcAft>
                            <a:defRPr kern="1200">
                              <a:solidFill>
                                <a:sysClr val="windowText" lastClr="000000"/>
                              </a:solidFill>
                              <a:latin typeface="Arial" pitchFamily="34" charset="0"/>
                              <a:ea typeface="宋体" pitchFamily="2" charset="-122"/>
                            </a:defRPr>
                          </a:lvl1pPr>
                          <a:lvl2pPr marL="457200" algn="l" rtl="0" fontAlgn="base">
                            <a:spcBef>
                              <a:spcPct val="0"/>
                            </a:spcBef>
                            <a:spcAft>
                              <a:spcPct val="0"/>
                            </a:spcAft>
                            <a:defRPr kern="1200">
                              <a:solidFill>
                                <a:sysClr val="windowText" lastClr="000000"/>
                              </a:solidFill>
                              <a:latin typeface="Arial" pitchFamily="34" charset="0"/>
                              <a:ea typeface="宋体" pitchFamily="2" charset="-122"/>
                            </a:defRPr>
                          </a:lvl2pPr>
                          <a:lvl3pPr marL="914400" algn="l" rtl="0" fontAlgn="base">
                            <a:spcBef>
                              <a:spcPct val="0"/>
                            </a:spcBef>
                            <a:spcAft>
                              <a:spcPct val="0"/>
                            </a:spcAft>
                            <a:defRPr kern="1200">
                              <a:solidFill>
                                <a:sysClr val="windowText" lastClr="000000"/>
                              </a:solidFill>
                              <a:latin typeface="Arial" pitchFamily="34" charset="0"/>
                              <a:ea typeface="宋体" pitchFamily="2" charset="-122"/>
                            </a:defRPr>
                          </a:lvl3pPr>
                          <a:lvl4pPr marL="1371600" algn="l" rtl="0" fontAlgn="base">
                            <a:spcBef>
                              <a:spcPct val="0"/>
                            </a:spcBef>
                            <a:spcAft>
                              <a:spcPct val="0"/>
                            </a:spcAft>
                            <a:defRPr kern="1200">
                              <a:solidFill>
                                <a:sysClr val="windowText" lastClr="000000"/>
                              </a:solidFill>
                              <a:latin typeface="Arial" pitchFamily="34" charset="0"/>
                              <a:ea typeface="宋体" pitchFamily="2" charset="-122"/>
                            </a:defRPr>
                          </a:lvl4pPr>
                          <a:lvl5pPr marL="1828800" algn="l" rtl="0" fontAlgn="base">
                            <a:spcBef>
                              <a:spcPct val="0"/>
                            </a:spcBef>
                            <a:spcAft>
                              <a:spcPct val="0"/>
                            </a:spcAft>
                            <a:defRPr kern="1200">
                              <a:solidFill>
                                <a:sysClr val="windowText" lastClr="000000"/>
                              </a:solidFill>
                              <a:latin typeface="Arial" pitchFamily="34" charset="0"/>
                              <a:ea typeface="宋体" pitchFamily="2" charset="-122"/>
                            </a:defRPr>
                          </a:lvl5pPr>
                          <a:lvl6pPr marL="2286000" algn="l" defTabSz="914400" rtl="0" eaLnBrk="1" latinLnBrk="0" hangingPunct="1">
                            <a:defRPr kern="1200">
                              <a:solidFill>
                                <a:sysClr val="windowText" lastClr="000000"/>
                              </a:solidFill>
                              <a:latin typeface="Arial" pitchFamily="34" charset="0"/>
                              <a:ea typeface="宋体" pitchFamily="2" charset="-122"/>
                            </a:defRPr>
                          </a:lvl6pPr>
                          <a:lvl7pPr marL="2743200" algn="l" defTabSz="914400" rtl="0" eaLnBrk="1" latinLnBrk="0" hangingPunct="1">
                            <a:defRPr kern="1200">
                              <a:solidFill>
                                <a:sysClr val="windowText" lastClr="000000"/>
                              </a:solidFill>
                              <a:latin typeface="Arial" pitchFamily="34" charset="0"/>
                              <a:ea typeface="宋体" pitchFamily="2" charset="-122"/>
                            </a:defRPr>
                          </a:lvl7pPr>
                          <a:lvl8pPr marL="3200400" algn="l" defTabSz="914400" rtl="0" eaLnBrk="1" latinLnBrk="0" hangingPunct="1">
                            <a:defRPr kern="1200">
                              <a:solidFill>
                                <a:sysClr val="windowText" lastClr="000000"/>
                              </a:solidFill>
                              <a:latin typeface="Arial" pitchFamily="34" charset="0"/>
                              <a:ea typeface="宋体" pitchFamily="2" charset="-122"/>
                            </a:defRPr>
                          </a:lvl8pPr>
                          <a:lvl9pPr marL="3657600" algn="l" defTabSz="914400" rtl="0" eaLnBrk="1" latinLnBrk="0" hangingPunct="1">
                            <a:defRPr kern="1200">
                              <a:solidFill>
                                <a:sysClr val="windowText" lastClr="000000"/>
                              </a:solidFill>
                              <a:latin typeface="Arial" pitchFamily="34" charset="0"/>
                              <a:ea typeface="宋体" pitchFamily="2" charset="-122"/>
                            </a:defRPr>
                          </a:lvl9pPr>
                        </a:lstStyle>
                        <a:p>
                          <a:r>
                            <a:rPr lang="zh-CN" altLang="en-US" b="1">
                              <a:latin typeface="Tw Cen MT"/>
                            </a:rPr>
                            <a:t>查封、扣押、冻结等执行措施</a:t>
                          </a:r>
                          <a:endParaRPr lang="en-US" altLang="zh-CN" b="1">
                            <a:latin typeface="Tw Cen MT"/>
                          </a:endParaRPr>
                        </a:p>
                        <a:p>
                          <a:r>
                            <a:rPr lang="zh-CN" altLang="en-US" b="1">
                              <a:latin typeface="Tw Cen MT"/>
                            </a:rPr>
                            <a:t>拍卖、变卖等执行处置行为</a:t>
                          </a:r>
                        </a:p>
                      </a:txBody>
                      <a:useSpRect/>
                    </a:txSp>
                  </a:sp>
                  <a:cxnSp>
                    <a:nvCxnSpPr>
                      <a:cNvPr id="8" name="直接箭头连接符 7"/>
                      <a:cNvCxnSpPr/>
                    </a:nvCxnSpPr>
                    <a:spPr>
                      <a:xfrm rot="5400000" flipH="1" flipV="1">
                        <a:off x="5406231" y="3325020"/>
                        <a:ext cx="1095375" cy="2824162"/>
                      </a:xfrm>
                      <a:prstGeom prst="straightConnector1">
                        <a:avLst/>
                      </a:prstGeom>
                      <a:noFill/>
                      <a:ln w="28575" cap="flat" cmpd="sng" algn="ctr">
                        <a:solidFill>
                          <a:srgbClr val="4F81BD">
                            <a:shade val="95000"/>
                            <a:satMod val="105000"/>
                          </a:srgbClr>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9" name="直接箭头连接符 8"/>
                      <a:cNvCxnSpPr/>
                    </a:nvCxnSpPr>
                    <a:spPr>
                      <a:xfrm rot="16200000" flipH="1">
                        <a:off x="8011319" y="3544094"/>
                        <a:ext cx="1109662" cy="2400300"/>
                      </a:xfrm>
                      <a:prstGeom prst="straightConnector1">
                        <a:avLst/>
                      </a:prstGeom>
                      <a:noFill/>
                      <a:ln w="28575" cap="flat" cmpd="sng" algn="ctr">
                        <a:solidFill>
                          <a:srgbClr val="4F81BD">
                            <a:shade val="95000"/>
                            <a:satMod val="105000"/>
                          </a:srgbClr>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0" name="直接箭头连接符 9"/>
                      <a:cNvCxnSpPr/>
                    </a:nvCxnSpPr>
                    <a:spPr>
                      <a:xfrm flipV="1">
                        <a:off x="5532438" y="5543550"/>
                        <a:ext cx="962025" cy="1588"/>
                      </a:xfrm>
                      <a:prstGeom prst="straightConnector1">
                        <a:avLst/>
                      </a:prstGeom>
                      <a:noFill/>
                      <a:ln w="28575" cap="flat" cmpd="sng" algn="ctr">
                        <a:solidFill>
                          <a:srgbClr val="4F81BD">
                            <a:shade val="95000"/>
                            <a:satMod val="105000"/>
                          </a:srgbClr>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1" name="直接箭头连接符 10"/>
                      <a:cNvCxnSpPr/>
                    </a:nvCxnSpPr>
                    <a:spPr>
                      <a:xfrm rot="10800000">
                        <a:off x="8115300" y="5543550"/>
                        <a:ext cx="841375" cy="17463"/>
                      </a:xfrm>
                      <a:prstGeom prst="straightConnector1">
                        <a:avLst/>
                      </a:prstGeom>
                      <a:noFill/>
                      <a:ln w="28575" cap="flat" cmpd="sng" algn="ctr">
                        <a:solidFill>
                          <a:srgbClr val="4F81BD">
                            <a:shade val="95000"/>
                            <a:satMod val="105000"/>
                          </a:srgbClr>
                        </a:solidFill>
                        <a:prstDash val="solid"/>
                        <a:tailEnd type="arrow"/>
                      </a:ln>
                      <a:effectLst/>
                    </a:spPr>
                    <a:style>
                      <a:lnRef idx="1">
                        <a:schemeClr val="accent1"/>
                      </a:lnRef>
                      <a:fillRef idx="0">
                        <a:schemeClr val="accent1"/>
                      </a:fillRef>
                      <a:effectRef idx="0">
                        <a:schemeClr val="accent1"/>
                      </a:effectRef>
                      <a:fontRef idx="minor">
                        <a:schemeClr val="tx1"/>
                      </a:fontRef>
                    </a:style>
                  </a:cxnSp>
                  <a:sp>
                    <a:nvSpPr>
                      <a:cNvPr id="27660" name="TextBox 11"/>
                      <a:cNvSpPr txBox="1">
                        <a:spLocks noChangeArrowheads="1"/>
                      </a:cNvSpPr>
                    </a:nvSpPr>
                    <a:spPr bwMode="auto">
                      <a:xfrm>
                        <a:off x="1617663" y="4519613"/>
                        <a:ext cx="1262062" cy="522287"/>
                      </a:xfrm>
                      <a:prstGeom prst="rect">
                        <a:avLst/>
                      </a:prstGeom>
                      <a:noFill/>
                      <a:ln w="28575">
                        <a:solidFill>
                          <a:sysClr val="windowText" lastClr="000000"/>
                        </a:solidFill>
                        <a:miter lim="800000"/>
                        <a:headEnd/>
                        <a:tailEnd/>
                      </a:ln>
                    </a:spPr>
                    <a:txSp>
                      <a:txBody>
                        <a:bodyPr wrap="none">
                          <a:spAutoFit/>
                        </a:bodyPr>
                        <a:lstStyle>
                          <a:defPPr>
                            <a:defRPr lang="en-US"/>
                          </a:defPPr>
                          <a:lvl1pPr algn="l" rtl="0" fontAlgn="base">
                            <a:spcBef>
                              <a:spcPct val="0"/>
                            </a:spcBef>
                            <a:spcAft>
                              <a:spcPct val="0"/>
                            </a:spcAft>
                            <a:defRPr kern="1200">
                              <a:solidFill>
                                <a:sysClr val="windowText" lastClr="000000"/>
                              </a:solidFill>
                              <a:latin typeface="Arial" pitchFamily="34" charset="0"/>
                              <a:ea typeface="宋体" pitchFamily="2" charset="-122"/>
                            </a:defRPr>
                          </a:lvl1pPr>
                          <a:lvl2pPr marL="457200" algn="l" rtl="0" fontAlgn="base">
                            <a:spcBef>
                              <a:spcPct val="0"/>
                            </a:spcBef>
                            <a:spcAft>
                              <a:spcPct val="0"/>
                            </a:spcAft>
                            <a:defRPr kern="1200">
                              <a:solidFill>
                                <a:sysClr val="windowText" lastClr="000000"/>
                              </a:solidFill>
                              <a:latin typeface="Arial" pitchFamily="34" charset="0"/>
                              <a:ea typeface="宋体" pitchFamily="2" charset="-122"/>
                            </a:defRPr>
                          </a:lvl2pPr>
                          <a:lvl3pPr marL="914400" algn="l" rtl="0" fontAlgn="base">
                            <a:spcBef>
                              <a:spcPct val="0"/>
                            </a:spcBef>
                            <a:spcAft>
                              <a:spcPct val="0"/>
                            </a:spcAft>
                            <a:defRPr kern="1200">
                              <a:solidFill>
                                <a:sysClr val="windowText" lastClr="000000"/>
                              </a:solidFill>
                              <a:latin typeface="Arial" pitchFamily="34" charset="0"/>
                              <a:ea typeface="宋体" pitchFamily="2" charset="-122"/>
                            </a:defRPr>
                          </a:lvl3pPr>
                          <a:lvl4pPr marL="1371600" algn="l" rtl="0" fontAlgn="base">
                            <a:spcBef>
                              <a:spcPct val="0"/>
                            </a:spcBef>
                            <a:spcAft>
                              <a:spcPct val="0"/>
                            </a:spcAft>
                            <a:defRPr kern="1200">
                              <a:solidFill>
                                <a:sysClr val="windowText" lastClr="000000"/>
                              </a:solidFill>
                              <a:latin typeface="Arial" pitchFamily="34" charset="0"/>
                              <a:ea typeface="宋体" pitchFamily="2" charset="-122"/>
                            </a:defRPr>
                          </a:lvl4pPr>
                          <a:lvl5pPr marL="1828800" algn="l" rtl="0" fontAlgn="base">
                            <a:spcBef>
                              <a:spcPct val="0"/>
                            </a:spcBef>
                            <a:spcAft>
                              <a:spcPct val="0"/>
                            </a:spcAft>
                            <a:defRPr kern="1200">
                              <a:solidFill>
                                <a:sysClr val="windowText" lastClr="000000"/>
                              </a:solidFill>
                              <a:latin typeface="Arial" pitchFamily="34" charset="0"/>
                              <a:ea typeface="宋体" pitchFamily="2" charset="-122"/>
                            </a:defRPr>
                          </a:lvl5pPr>
                          <a:lvl6pPr marL="2286000" algn="l" defTabSz="914400" rtl="0" eaLnBrk="1" latinLnBrk="0" hangingPunct="1">
                            <a:defRPr kern="1200">
                              <a:solidFill>
                                <a:sysClr val="windowText" lastClr="000000"/>
                              </a:solidFill>
                              <a:latin typeface="Arial" pitchFamily="34" charset="0"/>
                              <a:ea typeface="宋体" pitchFamily="2" charset="-122"/>
                            </a:defRPr>
                          </a:lvl6pPr>
                          <a:lvl7pPr marL="2743200" algn="l" defTabSz="914400" rtl="0" eaLnBrk="1" latinLnBrk="0" hangingPunct="1">
                            <a:defRPr kern="1200">
                              <a:solidFill>
                                <a:sysClr val="windowText" lastClr="000000"/>
                              </a:solidFill>
                              <a:latin typeface="Arial" pitchFamily="34" charset="0"/>
                              <a:ea typeface="宋体" pitchFamily="2" charset="-122"/>
                            </a:defRPr>
                          </a:lvl7pPr>
                          <a:lvl8pPr marL="3200400" algn="l" defTabSz="914400" rtl="0" eaLnBrk="1" latinLnBrk="0" hangingPunct="1">
                            <a:defRPr kern="1200">
                              <a:solidFill>
                                <a:sysClr val="windowText" lastClr="000000"/>
                              </a:solidFill>
                              <a:latin typeface="Arial" pitchFamily="34" charset="0"/>
                              <a:ea typeface="宋体" pitchFamily="2" charset="-122"/>
                            </a:defRPr>
                          </a:lvl8pPr>
                          <a:lvl9pPr marL="3657600" algn="l" defTabSz="914400" rtl="0" eaLnBrk="1" latinLnBrk="0" hangingPunct="1">
                            <a:defRPr kern="1200">
                              <a:solidFill>
                                <a:sysClr val="windowText" lastClr="000000"/>
                              </a:solidFill>
                              <a:latin typeface="Arial" pitchFamily="34" charset="0"/>
                              <a:ea typeface="宋体" pitchFamily="2" charset="-122"/>
                            </a:defRPr>
                          </a:lvl9pPr>
                        </a:lstStyle>
                        <a:p>
                          <a:r>
                            <a:rPr lang="zh-CN" altLang="en-US" sz="2800">
                              <a:latin typeface="Tw Cen MT"/>
                            </a:rPr>
                            <a:t>案外人</a:t>
                          </a:r>
                        </a:p>
                      </a:txBody>
                      <a:useSpRect/>
                    </a:txSp>
                  </a:sp>
                  <a:cxnSp>
                    <a:nvCxnSpPr>
                      <a:cNvPr id="14" name="直接箭头连接符 13"/>
                      <a:cNvCxnSpPr>
                        <a:stCxn id="27660" idx="3"/>
                        <a:endCxn id="27655" idx="1"/>
                      </a:cNvCxnSpPr>
                    </a:nvCxnSpPr>
                    <a:spPr>
                      <a:xfrm>
                        <a:off x="2879725" y="4781550"/>
                        <a:ext cx="1254125" cy="0"/>
                      </a:xfrm>
                      <a:prstGeom prst="straightConnector1">
                        <a:avLst/>
                      </a:prstGeom>
                      <a:noFill/>
                      <a:ln w="38100" cap="flat" cmpd="sng" algn="ctr">
                        <a:solidFill>
                          <a:srgbClr val="4F81BD">
                            <a:shade val="95000"/>
                            <a:satMod val="105000"/>
                          </a:srgbClr>
                        </a:solidFill>
                        <a:prstDash val="solid"/>
                        <a:tailEnd type="arrow"/>
                      </a:ln>
                      <a:effectLst/>
                    </a:spPr>
                    <a:style>
                      <a:lnRef idx="1">
                        <a:schemeClr val="accent1"/>
                      </a:lnRef>
                      <a:fillRef idx="0">
                        <a:schemeClr val="accent1"/>
                      </a:fillRef>
                      <a:effectRef idx="0">
                        <a:schemeClr val="accent1"/>
                      </a:effectRef>
                      <a:fontRef idx="minor">
                        <a:schemeClr val="tx1"/>
                      </a:fontRef>
                    </a:style>
                  </a:cxnSp>
                  <a:sp>
                    <a:nvSpPr>
                      <a:cNvPr id="27662" name="TextBox 15"/>
                      <a:cNvSpPr txBox="1">
                        <a:spLocks noChangeArrowheads="1"/>
                      </a:cNvSpPr>
                    </a:nvSpPr>
                    <a:spPr bwMode="auto">
                      <a:xfrm>
                        <a:off x="2289175" y="3590925"/>
                        <a:ext cx="2338388" cy="522288"/>
                      </a:xfrm>
                      <a:prstGeom prst="rect">
                        <a:avLst/>
                      </a:prstGeom>
                      <a:noFill/>
                      <a:ln w="28575">
                        <a:solidFill>
                          <a:sysClr val="windowText" lastClr="000000"/>
                        </a:solidFill>
                        <a:miter lim="800000"/>
                        <a:headEnd/>
                        <a:tailEnd/>
                      </a:ln>
                    </a:spPr>
                    <a:txSp>
                      <a:txBody>
                        <a:bodyPr wrap="none">
                          <a:spAutoFit/>
                        </a:bodyPr>
                        <a:lstStyle>
                          <a:defPPr>
                            <a:defRPr lang="en-US"/>
                          </a:defPPr>
                          <a:lvl1pPr algn="l" rtl="0" fontAlgn="base">
                            <a:spcBef>
                              <a:spcPct val="0"/>
                            </a:spcBef>
                            <a:spcAft>
                              <a:spcPct val="0"/>
                            </a:spcAft>
                            <a:defRPr kern="1200">
                              <a:solidFill>
                                <a:sysClr val="windowText" lastClr="000000"/>
                              </a:solidFill>
                              <a:latin typeface="Arial" pitchFamily="34" charset="0"/>
                              <a:ea typeface="宋体" pitchFamily="2" charset="-122"/>
                            </a:defRPr>
                          </a:lvl1pPr>
                          <a:lvl2pPr marL="457200" algn="l" rtl="0" fontAlgn="base">
                            <a:spcBef>
                              <a:spcPct val="0"/>
                            </a:spcBef>
                            <a:spcAft>
                              <a:spcPct val="0"/>
                            </a:spcAft>
                            <a:defRPr kern="1200">
                              <a:solidFill>
                                <a:sysClr val="windowText" lastClr="000000"/>
                              </a:solidFill>
                              <a:latin typeface="Arial" pitchFamily="34" charset="0"/>
                              <a:ea typeface="宋体" pitchFamily="2" charset="-122"/>
                            </a:defRPr>
                          </a:lvl2pPr>
                          <a:lvl3pPr marL="914400" algn="l" rtl="0" fontAlgn="base">
                            <a:spcBef>
                              <a:spcPct val="0"/>
                            </a:spcBef>
                            <a:spcAft>
                              <a:spcPct val="0"/>
                            </a:spcAft>
                            <a:defRPr kern="1200">
                              <a:solidFill>
                                <a:sysClr val="windowText" lastClr="000000"/>
                              </a:solidFill>
                              <a:latin typeface="Arial" pitchFamily="34" charset="0"/>
                              <a:ea typeface="宋体" pitchFamily="2" charset="-122"/>
                            </a:defRPr>
                          </a:lvl3pPr>
                          <a:lvl4pPr marL="1371600" algn="l" rtl="0" fontAlgn="base">
                            <a:spcBef>
                              <a:spcPct val="0"/>
                            </a:spcBef>
                            <a:spcAft>
                              <a:spcPct val="0"/>
                            </a:spcAft>
                            <a:defRPr kern="1200">
                              <a:solidFill>
                                <a:sysClr val="windowText" lastClr="000000"/>
                              </a:solidFill>
                              <a:latin typeface="Arial" pitchFamily="34" charset="0"/>
                              <a:ea typeface="宋体" pitchFamily="2" charset="-122"/>
                            </a:defRPr>
                          </a:lvl4pPr>
                          <a:lvl5pPr marL="1828800" algn="l" rtl="0" fontAlgn="base">
                            <a:spcBef>
                              <a:spcPct val="0"/>
                            </a:spcBef>
                            <a:spcAft>
                              <a:spcPct val="0"/>
                            </a:spcAft>
                            <a:defRPr kern="1200">
                              <a:solidFill>
                                <a:sysClr val="windowText" lastClr="000000"/>
                              </a:solidFill>
                              <a:latin typeface="Arial" pitchFamily="34" charset="0"/>
                              <a:ea typeface="宋体" pitchFamily="2" charset="-122"/>
                            </a:defRPr>
                          </a:lvl5pPr>
                          <a:lvl6pPr marL="2286000" algn="l" defTabSz="914400" rtl="0" eaLnBrk="1" latinLnBrk="0" hangingPunct="1">
                            <a:defRPr kern="1200">
                              <a:solidFill>
                                <a:sysClr val="windowText" lastClr="000000"/>
                              </a:solidFill>
                              <a:latin typeface="Arial" pitchFamily="34" charset="0"/>
                              <a:ea typeface="宋体" pitchFamily="2" charset="-122"/>
                            </a:defRPr>
                          </a:lvl6pPr>
                          <a:lvl7pPr marL="2743200" algn="l" defTabSz="914400" rtl="0" eaLnBrk="1" latinLnBrk="0" hangingPunct="1">
                            <a:defRPr kern="1200">
                              <a:solidFill>
                                <a:sysClr val="windowText" lastClr="000000"/>
                              </a:solidFill>
                              <a:latin typeface="Arial" pitchFamily="34" charset="0"/>
                              <a:ea typeface="宋体" pitchFamily="2" charset="-122"/>
                            </a:defRPr>
                          </a:lvl7pPr>
                          <a:lvl8pPr marL="3200400" algn="l" defTabSz="914400" rtl="0" eaLnBrk="1" latinLnBrk="0" hangingPunct="1">
                            <a:defRPr kern="1200">
                              <a:solidFill>
                                <a:sysClr val="windowText" lastClr="000000"/>
                              </a:solidFill>
                              <a:latin typeface="Arial" pitchFamily="34" charset="0"/>
                              <a:ea typeface="宋体" pitchFamily="2" charset="-122"/>
                            </a:defRPr>
                          </a:lvl8pPr>
                          <a:lvl9pPr marL="3657600" algn="l" defTabSz="914400" rtl="0" eaLnBrk="1" latinLnBrk="0" hangingPunct="1">
                            <a:defRPr kern="1200">
                              <a:solidFill>
                                <a:sysClr val="windowText" lastClr="000000"/>
                              </a:solidFill>
                              <a:latin typeface="Arial" pitchFamily="34" charset="0"/>
                              <a:ea typeface="宋体" pitchFamily="2" charset="-122"/>
                            </a:defRPr>
                          </a:lvl9pPr>
                        </a:lstStyle>
                        <a:p>
                          <a:r>
                            <a:rPr lang="zh-CN" altLang="en-US" sz="2800">
                              <a:latin typeface="Tw Cen MT"/>
                            </a:rPr>
                            <a:t>执行行为异议</a:t>
                          </a:r>
                        </a:p>
                      </a:txBody>
                      <a:useSpRect/>
                    </a:txSp>
                  </a:sp>
                  <a:cxnSp>
                    <a:nvCxnSpPr>
                      <a:cNvPr id="18" name="直接箭头连接符 17"/>
                      <a:cNvCxnSpPr/>
                    </a:nvCxnSpPr>
                    <a:spPr>
                      <a:xfrm rot="16200000" flipV="1">
                        <a:off x="3140075" y="4422775"/>
                        <a:ext cx="660400" cy="6350"/>
                      </a:xfrm>
                      <a:prstGeom prst="straightConnector1">
                        <a:avLst/>
                      </a:prstGeom>
                      <a:noFill/>
                      <a:ln w="28575" cap="flat" cmpd="sng" algn="ctr">
                        <a:solidFill>
                          <a:srgbClr val="4F81BD">
                            <a:shade val="95000"/>
                            <a:satMod val="105000"/>
                          </a:srgbClr>
                        </a:solidFill>
                        <a:prstDash val="solid"/>
                        <a:tailEnd type="arrow"/>
                      </a:ln>
                      <a:effectLst/>
                    </a:spPr>
                    <a:style>
                      <a:lnRef idx="1">
                        <a:schemeClr val="accent1"/>
                      </a:lnRef>
                      <a:fillRef idx="0">
                        <a:schemeClr val="accent1"/>
                      </a:fillRef>
                      <a:effectRef idx="0">
                        <a:schemeClr val="accent1"/>
                      </a:effectRef>
                      <a:fontRef idx="minor">
                        <a:schemeClr val="tx1"/>
                      </a:fontRef>
                    </a:style>
                  </a:cxnSp>
                  <a:sp>
                    <a:nvSpPr>
                      <a:cNvPr id="27664" name="TextBox 21"/>
                      <a:cNvSpPr txBox="1">
                        <a:spLocks noChangeArrowheads="1"/>
                      </a:cNvSpPr>
                    </a:nvSpPr>
                    <a:spPr bwMode="auto">
                      <a:xfrm>
                        <a:off x="2238375" y="2406650"/>
                        <a:ext cx="2339975" cy="522288"/>
                      </a:xfrm>
                      <a:prstGeom prst="rect">
                        <a:avLst/>
                      </a:prstGeom>
                      <a:noFill/>
                      <a:ln w="28575">
                        <a:solidFill>
                          <a:sysClr val="windowText" lastClr="000000"/>
                        </a:solidFill>
                        <a:miter lim="800000"/>
                        <a:headEnd/>
                        <a:tailEnd/>
                      </a:ln>
                    </a:spPr>
                    <a:txSp>
                      <a:txBody>
                        <a:bodyPr wrap="none">
                          <a:spAutoFit/>
                        </a:bodyPr>
                        <a:lstStyle>
                          <a:defPPr>
                            <a:defRPr lang="en-US"/>
                          </a:defPPr>
                          <a:lvl1pPr algn="l" rtl="0" fontAlgn="base">
                            <a:spcBef>
                              <a:spcPct val="0"/>
                            </a:spcBef>
                            <a:spcAft>
                              <a:spcPct val="0"/>
                            </a:spcAft>
                            <a:defRPr kern="1200">
                              <a:solidFill>
                                <a:sysClr val="windowText" lastClr="000000"/>
                              </a:solidFill>
                              <a:latin typeface="Arial" pitchFamily="34" charset="0"/>
                              <a:ea typeface="宋体" pitchFamily="2" charset="-122"/>
                            </a:defRPr>
                          </a:lvl1pPr>
                          <a:lvl2pPr marL="457200" algn="l" rtl="0" fontAlgn="base">
                            <a:spcBef>
                              <a:spcPct val="0"/>
                            </a:spcBef>
                            <a:spcAft>
                              <a:spcPct val="0"/>
                            </a:spcAft>
                            <a:defRPr kern="1200">
                              <a:solidFill>
                                <a:sysClr val="windowText" lastClr="000000"/>
                              </a:solidFill>
                              <a:latin typeface="Arial" pitchFamily="34" charset="0"/>
                              <a:ea typeface="宋体" pitchFamily="2" charset="-122"/>
                            </a:defRPr>
                          </a:lvl2pPr>
                          <a:lvl3pPr marL="914400" algn="l" rtl="0" fontAlgn="base">
                            <a:spcBef>
                              <a:spcPct val="0"/>
                            </a:spcBef>
                            <a:spcAft>
                              <a:spcPct val="0"/>
                            </a:spcAft>
                            <a:defRPr kern="1200">
                              <a:solidFill>
                                <a:sysClr val="windowText" lastClr="000000"/>
                              </a:solidFill>
                              <a:latin typeface="Arial" pitchFamily="34" charset="0"/>
                              <a:ea typeface="宋体" pitchFamily="2" charset="-122"/>
                            </a:defRPr>
                          </a:lvl3pPr>
                          <a:lvl4pPr marL="1371600" algn="l" rtl="0" fontAlgn="base">
                            <a:spcBef>
                              <a:spcPct val="0"/>
                            </a:spcBef>
                            <a:spcAft>
                              <a:spcPct val="0"/>
                            </a:spcAft>
                            <a:defRPr kern="1200">
                              <a:solidFill>
                                <a:sysClr val="windowText" lastClr="000000"/>
                              </a:solidFill>
                              <a:latin typeface="Arial" pitchFamily="34" charset="0"/>
                              <a:ea typeface="宋体" pitchFamily="2" charset="-122"/>
                            </a:defRPr>
                          </a:lvl4pPr>
                          <a:lvl5pPr marL="1828800" algn="l" rtl="0" fontAlgn="base">
                            <a:spcBef>
                              <a:spcPct val="0"/>
                            </a:spcBef>
                            <a:spcAft>
                              <a:spcPct val="0"/>
                            </a:spcAft>
                            <a:defRPr kern="1200">
                              <a:solidFill>
                                <a:sysClr val="windowText" lastClr="000000"/>
                              </a:solidFill>
                              <a:latin typeface="Arial" pitchFamily="34" charset="0"/>
                              <a:ea typeface="宋体" pitchFamily="2" charset="-122"/>
                            </a:defRPr>
                          </a:lvl5pPr>
                          <a:lvl6pPr marL="2286000" algn="l" defTabSz="914400" rtl="0" eaLnBrk="1" latinLnBrk="0" hangingPunct="1">
                            <a:defRPr kern="1200">
                              <a:solidFill>
                                <a:sysClr val="windowText" lastClr="000000"/>
                              </a:solidFill>
                              <a:latin typeface="Arial" pitchFamily="34" charset="0"/>
                              <a:ea typeface="宋体" pitchFamily="2" charset="-122"/>
                            </a:defRPr>
                          </a:lvl6pPr>
                          <a:lvl7pPr marL="2743200" algn="l" defTabSz="914400" rtl="0" eaLnBrk="1" latinLnBrk="0" hangingPunct="1">
                            <a:defRPr kern="1200">
                              <a:solidFill>
                                <a:sysClr val="windowText" lastClr="000000"/>
                              </a:solidFill>
                              <a:latin typeface="Arial" pitchFamily="34" charset="0"/>
                              <a:ea typeface="宋体" pitchFamily="2" charset="-122"/>
                            </a:defRPr>
                          </a:lvl7pPr>
                          <a:lvl8pPr marL="3200400" algn="l" defTabSz="914400" rtl="0" eaLnBrk="1" latinLnBrk="0" hangingPunct="1">
                            <a:defRPr kern="1200">
                              <a:solidFill>
                                <a:sysClr val="windowText" lastClr="000000"/>
                              </a:solidFill>
                              <a:latin typeface="Arial" pitchFamily="34" charset="0"/>
                              <a:ea typeface="宋体" pitchFamily="2" charset="-122"/>
                            </a:defRPr>
                          </a:lvl8pPr>
                          <a:lvl9pPr marL="3657600" algn="l" defTabSz="914400" rtl="0" eaLnBrk="1" latinLnBrk="0" hangingPunct="1">
                            <a:defRPr kern="1200">
                              <a:solidFill>
                                <a:sysClr val="windowText" lastClr="000000"/>
                              </a:solidFill>
                              <a:latin typeface="Arial" pitchFamily="34" charset="0"/>
                              <a:ea typeface="宋体" pitchFamily="2" charset="-122"/>
                            </a:defRPr>
                          </a:lvl9pPr>
                        </a:lstStyle>
                        <a:p>
                          <a:r>
                            <a:rPr lang="zh-CN" altLang="en-US" sz="2800">
                              <a:latin typeface="Tw Cen MT"/>
                            </a:rPr>
                            <a:t>执行复议程序</a:t>
                          </a:r>
                        </a:p>
                      </a:txBody>
                      <a:useSpRect/>
                    </a:txSp>
                  </a:sp>
                  <a:cxnSp>
                    <a:nvCxnSpPr>
                      <a:cNvPr id="23" name="直接箭头连接符 22"/>
                      <a:cNvCxnSpPr/>
                    </a:nvCxnSpPr>
                    <a:spPr>
                      <a:xfrm rot="16200000" flipV="1">
                        <a:off x="3098800" y="3282950"/>
                        <a:ext cx="660400" cy="6350"/>
                      </a:xfrm>
                      <a:prstGeom prst="straightConnector1">
                        <a:avLst/>
                      </a:prstGeom>
                      <a:noFill/>
                      <a:ln w="28575" cap="flat" cmpd="sng" algn="ctr">
                        <a:solidFill>
                          <a:srgbClr val="4F81BD">
                            <a:shade val="95000"/>
                            <a:satMod val="105000"/>
                          </a:srgbClr>
                        </a:solidFill>
                        <a:prstDash val="solid"/>
                        <a:tailEnd type="arrow"/>
                      </a:ln>
                      <a:effectLst/>
                    </a:spPr>
                    <a:style>
                      <a:lnRef idx="1">
                        <a:schemeClr val="accent1"/>
                      </a:lnRef>
                      <a:fillRef idx="0">
                        <a:schemeClr val="accent1"/>
                      </a:fillRef>
                      <a:effectRef idx="0">
                        <a:schemeClr val="accent1"/>
                      </a:effectRef>
                      <a:fontRef idx="minor">
                        <a:schemeClr val="tx1"/>
                      </a:fontRef>
                    </a:style>
                  </a:cxnSp>
                </lc:lockedCanvas>
              </a:graphicData>
            </a:graphic>
          </wp:anchor>
        </w:drawing>
      </w:r>
    </w:p>
    <w:p w:rsidR="003B57C8" w:rsidRDefault="003B57C8" w:rsidP="006B7F21">
      <w:pPr>
        <w:spacing w:line="560" w:lineRule="exact"/>
        <w:ind w:firstLineChars="200" w:firstLine="640"/>
        <w:jc w:val="center"/>
        <w:rPr>
          <w:rFonts w:ascii="仿宋_GB2312" w:eastAsia="仿宋_GB2312" w:hAnsi="宋体"/>
          <w:sz w:val="32"/>
          <w:szCs w:val="32"/>
        </w:rPr>
      </w:pPr>
    </w:p>
    <w:p w:rsidR="003B57C8" w:rsidRDefault="003B57C8" w:rsidP="006B7F21">
      <w:pPr>
        <w:spacing w:line="560" w:lineRule="exact"/>
        <w:ind w:firstLineChars="200" w:firstLine="640"/>
        <w:jc w:val="center"/>
        <w:rPr>
          <w:rFonts w:ascii="仿宋_GB2312" w:eastAsia="仿宋_GB2312" w:hAnsi="宋体"/>
          <w:sz w:val="32"/>
          <w:szCs w:val="32"/>
        </w:rPr>
      </w:pPr>
    </w:p>
    <w:p w:rsidR="003B57C8" w:rsidRDefault="003B57C8" w:rsidP="006B7F21">
      <w:pPr>
        <w:spacing w:line="560" w:lineRule="exact"/>
        <w:ind w:firstLineChars="200" w:firstLine="640"/>
        <w:jc w:val="center"/>
        <w:rPr>
          <w:rFonts w:ascii="仿宋_GB2312" w:eastAsia="仿宋_GB2312" w:hAnsi="宋体"/>
          <w:sz w:val="32"/>
          <w:szCs w:val="32"/>
        </w:rPr>
      </w:pPr>
    </w:p>
    <w:p w:rsidR="003B57C8" w:rsidRDefault="003B57C8" w:rsidP="006B7F21">
      <w:pPr>
        <w:spacing w:line="560" w:lineRule="exact"/>
        <w:ind w:firstLineChars="200" w:firstLine="640"/>
        <w:jc w:val="center"/>
        <w:rPr>
          <w:rFonts w:ascii="仿宋_GB2312" w:eastAsia="仿宋_GB2312" w:hAnsi="宋体"/>
          <w:sz w:val="32"/>
          <w:szCs w:val="32"/>
        </w:rPr>
      </w:pPr>
    </w:p>
    <w:p w:rsidR="003B57C8" w:rsidRDefault="003B57C8" w:rsidP="006B7F21">
      <w:pPr>
        <w:spacing w:line="560" w:lineRule="exact"/>
        <w:ind w:firstLineChars="200" w:firstLine="640"/>
        <w:jc w:val="center"/>
        <w:rPr>
          <w:rFonts w:ascii="仿宋_GB2312" w:eastAsia="仿宋_GB2312" w:hAnsi="宋体"/>
          <w:sz w:val="32"/>
          <w:szCs w:val="32"/>
        </w:rPr>
      </w:pPr>
    </w:p>
    <w:p w:rsidR="003B57C8" w:rsidRDefault="003B57C8" w:rsidP="006B7F21">
      <w:pPr>
        <w:spacing w:line="560" w:lineRule="exact"/>
        <w:ind w:firstLineChars="200" w:firstLine="640"/>
        <w:jc w:val="center"/>
        <w:rPr>
          <w:rFonts w:ascii="仿宋_GB2312" w:eastAsia="仿宋_GB2312" w:hAnsi="宋体"/>
          <w:sz w:val="32"/>
          <w:szCs w:val="32"/>
        </w:rPr>
      </w:pPr>
    </w:p>
    <w:p w:rsidR="006B7F21" w:rsidRPr="00065F52" w:rsidRDefault="006B7F21" w:rsidP="006B7F21">
      <w:pPr>
        <w:spacing w:line="560" w:lineRule="exact"/>
        <w:ind w:firstLineChars="200" w:firstLine="640"/>
        <w:jc w:val="center"/>
        <w:rPr>
          <w:rFonts w:ascii="仿宋_GB2312" w:eastAsia="仿宋_GB2312" w:hAnsi="宋体"/>
          <w:sz w:val="32"/>
          <w:szCs w:val="32"/>
        </w:rPr>
      </w:pPr>
      <w:r w:rsidRPr="00065F52">
        <w:rPr>
          <w:rFonts w:ascii="仿宋_GB2312" w:eastAsia="仿宋_GB2312" w:hAnsi="宋体" w:hint="eastAsia"/>
          <w:sz w:val="32"/>
          <w:szCs w:val="32"/>
        </w:rPr>
        <w:t>执行异议之诉及执行复议程序示意图</w:t>
      </w:r>
    </w:p>
    <w:p w:rsidR="006B7F21" w:rsidRDefault="006B7F21" w:rsidP="006B7F21">
      <w:pPr>
        <w:spacing w:line="560" w:lineRule="exact"/>
        <w:ind w:firstLineChars="200" w:firstLine="640"/>
        <w:rPr>
          <w:rFonts w:ascii="仿宋_GB2312" w:eastAsia="仿宋_GB2312" w:hAnsi="宋体"/>
          <w:sz w:val="32"/>
          <w:szCs w:val="32"/>
        </w:rPr>
      </w:pPr>
    </w:p>
    <w:p w:rsidR="006B7F21" w:rsidRPr="00065F52" w:rsidRDefault="006B7F21" w:rsidP="006B7F21">
      <w:pPr>
        <w:keepNext/>
        <w:keepLines/>
        <w:spacing w:line="416" w:lineRule="auto"/>
        <w:ind w:firstLineChars="200" w:firstLine="640"/>
        <w:outlineLvl w:val="1"/>
        <w:rPr>
          <w:rFonts w:ascii="楷体_GB2312" w:eastAsia="楷体_GB2312" w:hAnsi="Calibri Light"/>
          <w:bCs/>
          <w:sz w:val="32"/>
          <w:szCs w:val="32"/>
        </w:rPr>
      </w:pPr>
      <w:bookmarkStart w:id="8" w:name="_Toc36025643"/>
      <w:bookmarkStart w:id="9" w:name="_Toc36025667"/>
      <w:bookmarkStart w:id="10" w:name="_Toc36025829"/>
      <w:bookmarkStart w:id="11" w:name="_Toc36027075"/>
      <w:bookmarkStart w:id="12" w:name="_Hlk34837101"/>
      <w:r w:rsidRPr="00065F52">
        <w:rPr>
          <w:rFonts w:ascii="楷体_GB2312" w:eastAsia="楷体_GB2312" w:hAnsi="Calibri Light" w:hint="eastAsia"/>
          <w:bCs/>
          <w:sz w:val="32"/>
          <w:szCs w:val="32"/>
        </w:rPr>
        <w:t>（一）执行异议的类型、特点及审查原则</w:t>
      </w:r>
      <w:bookmarkEnd w:id="8"/>
      <w:bookmarkEnd w:id="9"/>
      <w:bookmarkEnd w:id="10"/>
      <w:bookmarkEnd w:id="11"/>
    </w:p>
    <w:p w:rsidR="006B7F21" w:rsidRPr="00065F52" w:rsidRDefault="006B7F21" w:rsidP="006B7F21">
      <w:pPr>
        <w:keepNext/>
        <w:keepLines/>
        <w:spacing w:line="416" w:lineRule="auto"/>
        <w:ind w:firstLineChars="200" w:firstLine="640"/>
        <w:outlineLvl w:val="2"/>
        <w:rPr>
          <w:rFonts w:ascii="仿宋_GB2312" w:eastAsia="仿宋_GB2312"/>
          <w:bCs/>
          <w:sz w:val="32"/>
          <w:szCs w:val="32"/>
        </w:rPr>
      </w:pPr>
      <w:bookmarkStart w:id="13" w:name="_Toc36025644"/>
      <w:bookmarkStart w:id="14" w:name="_Toc36025668"/>
      <w:bookmarkStart w:id="15" w:name="_Toc36025830"/>
      <w:bookmarkStart w:id="16" w:name="_Toc36027076"/>
      <w:bookmarkEnd w:id="12"/>
      <w:r w:rsidRPr="00065F52">
        <w:rPr>
          <w:rFonts w:ascii="仿宋_GB2312" w:eastAsia="仿宋_GB2312" w:hint="eastAsia"/>
          <w:bCs/>
          <w:sz w:val="32"/>
          <w:szCs w:val="32"/>
        </w:rPr>
        <w:t>1.执行异议的类型</w:t>
      </w:r>
      <w:bookmarkEnd w:id="13"/>
      <w:bookmarkEnd w:id="14"/>
      <w:bookmarkEnd w:id="15"/>
      <w:bookmarkEnd w:id="16"/>
    </w:p>
    <w:p w:rsidR="006B7F21" w:rsidRPr="00065F52" w:rsidRDefault="006B7F21" w:rsidP="006B7F21">
      <w:pPr>
        <w:spacing w:line="560" w:lineRule="exact"/>
        <w:ind w:firstLine="420"/>
        <w:jc w:val="left"/>
        <w:rPr>
          <w:rFonts w:ascii="仿宋_GB2312" w:eastAsia="仿宋_GB2312"/>
          <w:sz w:val="32"/>
          <w:szCs w:val="32"/>
        </w:rPr>
      </w:pPr>
      <w:r w:rsidRPr="00065F52">
        <w:rPr>
          <w:rFonts w:ascii="仿宋_GB2312" w:eastAsia="仿宋_GB2312" w:hint="eastAsia"/>
          <w:sz w:val="32"/>
          <w:szCs w:val="32"/>
        </w:rPr>
        <w:t xml:space="preserve"> 执行异议主要是指在案件的执行过程中，当事人、利害关系人认为执行行为违反法律规定而提出的异议，</w:t>
      </w:r>
      <w:proofErr w:type="gramStart"/>
      <w:r w:rsidRPr="00065F52">
        <w:rPr>
          <w:rFonts w:ascii="仿宋_GB2312" w:eastAsia="仿宋_GB2312" w:hint="eastAsia"/>
          <w:sz w:val="32"/>
          <w:szCs w:val="32"/>
        </w:rPr>
        <w:t>或案外人</w:t>
      </w:r>
      <w:proofErr w:type="gramEnd"/>
      <w:r w:rsidRPr="00065F52">
        <w:rPr>
          <w:rFonts w:ascii="仿宋_GB2312" w:eastAsia="仿宋_GB2312" w:hint="eastAsia"/>
          <w:sz w:val="32"/>
          <w:szCs w:val="32"/>
        </w:rPr>
        <w:t>对执行标的提出异议的法律程序，执行异议同时也包括执行当事人的变更、追加，申请不予执行仲裁裁决等程序。</w:t>
      </w:r>
    </w:p>
    <w:p w:rsidR="006B7F21" w:rsidRPr="00065F52" w:rsidRDefault="006B7F21" w:rsidP="006B7F21">
      <w:pPr>
        <w:spacing w:line="560" w:lineRule="exact"/>
        <w:ind w:firstLineChars="200" w:firstLine="640"/>
        <w:rPr>
          <w:rFonts w:ascii="仿宋_GB2312" w:eastAsia="仿宋_GB2312"/>
          <w:sz w:val="32"/>
          <w:szCs w:val="32"/>
        </w:rPr>
      </w:pPr>
      <w:r w:rsidRPr="00065F52">
        <w:rPr>
          <w:rFonts w:ascii="仿宋_GB2312" w:eastAsia="仿宋_GB2312" w:hint="eastAsia"/>
          <w:sz w:val="32"/>
          <w:szCs w:val="32"/>
        </w:rPr>
        <w:t>（1）案外人异议：指在执行程序中，执行案件当事人之外的第三人对执行标的主张实体权利（所有权或其他足以阻止执行标的</w:t>
      </w:r>
      <w:proofErr w:type="gramStart"/>
      <w:r w:rsidRPr="00065F52">
        <w:rPr>
          <w:rFonts w:ascii="仿宋_GB2312" w:eastAsia="仿宋_GB2312" w:hint="eastAsia"/>
          <w:sz w:val="32"/>
          <w:szCs w:val="32"/>
        </w:rPr>
        <w:t>的</w:t>
      </w:r>
      <w:proofErr w:type="gramEnd"/>
      <w:r w:rsidRPr="00065F52">
        <w:rPr>
          <w:rFonts w:ascii="仿宋_GB2312" w:eastAsia="仿宋_GB2312" w:hint="eastAsia"/>
          <w:sz w:val="32"/>
          <w:szCs w:val="32"/>
        </w:rPr>
        <w:t>转让、交付的实体权利），用以排除人民法院执行的异议，其基本法律依据是《民事诉讼法》二百二十七条。</w:t>
      </w:r>
    </w:p>
    <w:p w:rsidR="006B7F21" w:rsidRPr="00065F52" w:rsidRDefault="006B7F21" w:rsidP="006B7F21">
      <w:pPr>
        <w:spacing w:line="560" w:lineRule="exact"/>
        <w:ind w:firstLineChars="200" w:firstLine="640"/>
        <w:rPr>
          <w:rFonts w:ascii="仿宋_GB2312" w:eastAsia="仿宋_GB2312"/>
          <w:sz w:val="32"/>
          <w:szCs w:val="32"/>
        </w:rPr>
      </w:pPr>
      <w:r w:rsidRPr="00065F52">
        <w:rPr>
          <w:rFonts w:ascii="仿宋_GB2312" w:eastAsia="仿宋_GB2312" w:hint="eastAsia"/>
          <w:sz w:val="32"/>
          <w:szCs w:val="32"/>
        </w:rPr>
        <w:t>（2）执行行为异议：指在执行程序中，执行案件的当事人或者其他利害关系人认为人民法院的执行行为违反了相关法律规定而提出的异议，其异议指向为执行行为本身，执行行为异议贯穿整个执行程序，从立案到案件的终结执行，</w:t>
      </w:r>
      <w:r w:rsidRPr="00065F52">
        <w:rPr>
          <w:rFonts w:ascii="仿宋_GB2312" w:eastAsia="仿宋_GB2312" w:hint="eastAsia"/>
          <w:sz w:val="32"/>
          <w:szCs w:val="32"/>
        </w:rPr>
        <w:lastRenderedPageBreak/>
        <w:t>相关当事人均有可能提出异议，其基本法律依据是《民事诉讼法》二百二十五条。</w:t>
      </w:r>
    </w:p>
    <w:p w:rsidR="006B7F21" w:rsidRPr="00065F52" w:rsidRDefault="006B7F21" w:rsidP="006B7F21">
      <w:pPr>
        <w:spacing w:line="560" w:lineRule="exact"/>
        <w:ind w:firstLineChars="200" w:firstLine="640"/>
        <w:rPr>
          <w:rFonts w:ascii="仿宋_GB2312" w:eastAsia="仿宋_GB2312"/>
          <w:sz w:val="32"/>
          <w:szCs w:val="32"/>
        </w:rPr>
      </w:pPr>
      <w:r w:rsidRPr="00065F52">
        <w:rPr>
          <w:rFonts w:ascii="仿宋_GB2312" w:eastAsia="仿宋_GB2312" w:hint="eastAsia"/>
          <w:sz w:val="32"/>
          <w:szCs w:val="32"/>
        </w:rPr>
        <w:t>依据相关权利人申请提起的执行异议：根据现行法律和司法解释的规定，在当事人申请人民法院执行仲裁机构依据仲裁法</w:t>
      </w:r>
      <w:proofErr w:type="gramStart"/>
      <w:r w:rsidRPr="00065F52">
        <w:rPr>
          <w:rFonts w:ascii="仿宋_GB2312" w:eastAsia="仿宋_GB2312" w:hint="eastAsia"/>
          <w:sz w:val="32"/>
          <w:szCs w:val="32"/>
        </w:rPr>
        <w:t>作出</w:t>
      </w:r>
      <w:proofErr w:type="gramEnd"/>
      <w:r w:rsidRPr="00065F52">
        <w:rPr>
          <w:rFonts w:ascii="仿宋_GB2312" w:eastAsia="仿宋_GB2312" w:hint="eastAsia"/>
          <w:sz w:val="32"/>
          <w:szCs w:val="32"/>
        </w:rPr>
        <w:t>的仲裁裁决或者仲裁调解书的案件执行过程中，被执行人或者案外人有权向人民法院就据以执行的仲裁裁决或者仲裁调解书申请不予执行，人民法院应该进行审查并</w:t>
      </w:r>
      <w:proofErr w:type="gramStart"/>
      <w:r w:rsidRPr="00065F52">
        <w:rPr>
          <w:rFonts w:ascii="仿宋_GB2312" w:eastAsia="仿宋_GB2312" w:hint="eastAsia"/>
          <w:sz w:val="32"/>
          <w:szCs w:val="32"/>
        </w:rPr>
        <w:t>作出</w:t>
      </w:r>
      <w:proofErr w:type="gramEnd"/>
      <w:r w:rsidRPr="00065F52">
        <w:rPr>
          <w:rFonts w:ascii="仿宋_GB2312" w:eastAsia="仿宋_GB2312" w:hint="eastAsia"/>
          <w:sz w:val="32"/>
          <w:szCs w:val="32"/>
        </w:rPr>
        <w:t>裁定，其中被执行人、案外人申请不予执行也是执行异议的一种；此类型执行异议案件既包括申请执行人的变更与追加，也包括被执行人的变更与追加。相关法律依据均是单独的司法解释。</w:t>
      </w:r>
    </w:p>
    <w:p w:rsidR="006B7F21" w:rsidRPr="00065F52" w:rsidRDefault="006B7F21" w:rsidP="006B7F21">
      <w:pPr>
        <w:keepNext/>
        <w:keepLines/>
        <w:spacing w:line="416" w:lineRule="auto"/>
        <w:ind w:firstLineChars="200" w:firstLine="640"/>
        <w:outlineLvl w:val="2"/>
        <w:rPr>
          <w:rFonts w:ascii="仿宋_GB2312" w:eastAsia="仿宋_GB2312"/>
          <w:bCs/>
          <w:sz w:val="32"/>
          <w:szCs w:val="32"/>
        </w:rPr>
      </w:pPr>
      <w:bookmarkStart w:id="17" w:name="_Toc36025645"/>
      <w:bookmarkStart w:id="18" w:name="_Toc36025669"/>
      <w:bookmarkStart w:id="19" w:name="_Toc36025831"/>
      <w:bookmarkStart w:id="20" w:name="_Toc36027077"/>
      <w:r w:rsidRPr="00065F52">
        <w:rPr>
          <w:rFonts w:ascii="仿宋_GB2312" w:eastAsia="仿宋_GB2312" w:hint="eastAsia"/>
          <w:bCs/>
          <w:sz w:val="32"/>
          <w:szCs w:val="32"/>
        </w:rPr>
        <w:t>2.执行异议的特点</w:t>
      </w:r>
      <w:bookmarkEnd w:id="17"/>
      <w:bookmarkEnd w:id="18"/>
      <w:bookmarkEnd w:id="19"/>
      <w:bookmarkEnd w:id="20"/>
    </w:p>
    <w:p w:rsidR="006B7F21" w:rsidRPr="00065F52" w:rsidRDefault="006B7F21" w:rsidP="006B7F21">
      <w:pPr>
        <w:spacing w:line="560" w:lineRule="exact"/>
        <w:rPr>
          <w:rFonts w:ascii="仿宋_GB2312" w:eastAsia="仿宋_GB2312"/>
          <w:sz w:val="32"/>
          <w:szCs w:val="32"/>
        </w:rPr>
      </w:pPr>
      <w:r w:rsidRPr="00065F52">
        <w:rPr>
          <w:rFonts w:ascii="仿宋_GB2312" w:eastAsia="仿宋_GB2312" w:hint="eastAsia"/>
          <w:sz w:val="32"/>
          <w:szCs w:val="32"/>
        </w:rPr>
        <w:t xml:space="preserve">    就其本质而言，从案外人执行异议的当事人、审查程序以及审查原则方面来讲，案外人执行异议与执行异议之诉没有本质区别，可以把案外人执行异议看成是简易程序的执行异议之诉。后文中对执行异议之诉的特点进行了详细阐释，这里就案外人执行异议独有的一些特点进行归纳。</w:t>
      </w:r>
    </w:p>
    <w:p w:rsidR="006B7F21" w:rsidRPr="00065F52" w:rsidRDefault="006B7F21" w:rsidP="006B7F21">
      <w:pPr>
        <w:spacing w:line="560" w:lineRule="exact"/>
        <w:ind w:firstLine="420"/>
        <w:rPr>
          <w:rFonts w:ascii="仿宋_GB2312" w:eastAsia="仿宋_GB2312"/>
          <w:sz w:val="32"/>
          <w:szCs w:val="32"/>
        </w:rPr>
      </w:pPr>
      <w:r w:rsidRPr="00065F52">
        <w:rPr>
          <w:rFonts w:ascii="仿宋_GB2312" w:eastAsia="仿宋_GB2312" w:hint="eastAsia"/>
          <w:sz w:val="32"/>
          <w:szCs w:val="32"/>
        </w:rPr>
        <w:t>（1）执行异议必须以生效的执行行为作为前提条件</w:t>
      </w:r>
    </w:p>
    <w:p w:rsidR="006B7F21" w:rsidRPr="00065F52" w:rsidRDefault="006B7F21" w:rsidP="006B7F21">
      <w:pPr>
        <w:spacing w:line="560" w:lineRule="exact"/>
        <w:ind w:firstLine="420"/>
        <w:rPr>
          <w:rFonts w:ascii="仿宋_GB2312" w:eastAsia="仿宋_GB2312"/>
          <w:sz w:val="32"/>
          <w:szCs w:val="32"/>
        </w:rPr>
      </w:pPr>
      <w:r w:rsidRPr="00065F52">
        <w:rPr>
          <w:rFonts w:ascii="仿宋_GB2312" w:eastAsia="仿宋_GB2312" w:hint="eastAsia"/>
          <w:sz w:val="32"/>
          <w:szCs w:val="32"/>
        </w:rPr>
        <w:t xml:space="preserve"> 当事人、案外人、利害关系人根据《中华人民共和国民事诉讼法》第二百二十五条、二百二十七条提出执行异议，均需以存在生效的执行行为为必要条件。也就是说，除了法定的当事人申请引发的执行异议外，相关当事人提起的执行异议，都必须有明确具体的生效执行行为，反映法院“不作为”或者请求法院</w:t>
      </w:r>
      <w:proofErr w:type="gramStart"/>
      <w:r w:rsidRPr="00065F52">
        <w:rPr>
          <w:rFonts w:ascii="仿宋_GB2312" w:eastAsia="仿宋_GB2312" w:hint="eastAsia"/>
          <w:sz w:val="32"/>
          <w:szCs w:val="32"/>
        </w:rPr>
        <w:t>作出</w:t>
      </w:r>
      <w:proofErr w:type="gramEnd"/>
      <w:r w:rsidRPr="00065F52">
        <w:rPr>
          <w:rFonts w:ascii="仿宋_GB2312" w:eastAsia="仿宋_GB2312" w:hint="eastAsia"/>
          <w:sz w:val="32"/>
          <w:szCs w:val="32"/>
        </w:rPr>
        <w:t>某种执行行为，均不属于执行异议案</w:t>
      </w:r>
      <w:r w:rsidRPr="00065F52">
        <w:rPr>
          <w:rFonts w:ascii="仿宋_GB2312" w:eastAsia="仿宋_GB2312" w:hint="eastAsia"/>
          <w:sz w:val="32"/>
          <w:szCs w:val="32"/>
        </w:rPr>
        <w:lastRenderedPageBreak/>
        <w:t>件的受理范围。</w:t>
      </w:r>
      <w:r w:rsidRPr="009826B2">
        <w:rPr>
          <w:rFonts w:ascii="仿宋_GB2312" w:eastAsia="仿宋_GB2312" w:hint="eastAsia"/>
          <w:sz w:val="32"/>
          <w:szCs w:val="32"/>
        </w:rPr>
        <w:t>所以案外人异议受理法院必须是首轮</w:t>
      </w:r>
      <w:r w:rsidRPr="00065F52">
        <w:rPr>
          <w:rFonts w:ascii="仿宋_GB2312" w:eastAsia="仿宋_GB2312" w:hint="eastAsia"/>
          <w:sz w:val="32"/>
          <w:szCs w:val="32"/>
        </w:rPr>
        <w:t>查封法院或者法定享有处置权的人民法院。</w:t>
      </w:r>
    </w:p>
    <w:p w:rsidR="006B7F21" w:rsidRPr="00065F52" w:rsidRDefault="006B7F21" w:rsidP="006B7F21">
      <w:pPr>
        <w:spacing w:line="560" w:lineRule="exact"/>
        <w:ind w:firstLine="420"/>
        <w:rPr>
          <w:rFonts w:ascii="仿宋_GB2312" w:eastAsia="仿宋_GB2312"/>
          <w:sz w:val="32"/>
          <w:szCs w:val="32"/>
        </w:rPr>
      </w:pPr>
      <w:r w:rsidRPr="00065F52">
        <w:rPr>
          <w:rFonts w:ascii="仿宋_GB2312" w:eastAsia="仿宋_GB2312" w:hint="eastAsia"/>
          <w:sz w:val="32"/>
          <w:szCs w:val="32"/>
        </w:rPr>
        <w:t>（2）案外人异议是执行异议之诉的前置程序</w:t>
      </w:r>
    </w:p>
    <w:p w:rsidR="006B7F21" w:rsidRPr="00065F52" w:rsidRDefault="006B7F21" w:rsidP="006B7F21">
      <w:pPr>
        <w:spacing w:line="560" w:lineRule="exact"/>
        <w:ind w:firstLine="420"/>
        <w:rPr>
          <w:rFonts w:ascii="仿宋_GB2312" w:eastAsia="仿宋_GB2312"/>
          <w:sz w:val="32"/>
          <w:szCs w:val="32"/>
        </w:rPr>
      </w:pPr>
      <w:r w:rsidRPr="00065F52">
        <w:rPr>
          <w:rFonts w:ascii="仿宋_GB2312" w:eastAsia="仿宋_GB2312" w:hint="eastAsia"/>
          <w:sz w:val="32"/>
          <w:szCs w:val="32"/>
        </w:rPr>
        <w:t xml:space="preserve"> 执行异议之诉与其他普通民事诉讼相同，都是以当事人向人民法院主动提起而引发，但执行异议之诉以执行程序中的案外人执行异议为前置条件，案外人必须在执行程序中提出异议，经执行法院审查后作出裁定，当事人依据该裁定获得提起执行异议之诉的权利。</w:t>
      </w:r>
    </w:p>
    <w:p w:rsidR="006B7F21" w:rsidRPr="00065F52" w:rsidRDefault="006B7F21" w:rsidP="006B7F21">
      <w:pPr>
        <w:spacing w:line="560" w:lineRule="exact"/>
        <w:ind w:firstLineChars="200" w:firstLine="640"/>
        <w:rPr>
          <w:rFonts w:ascii="仿宋_GB2312" w:eastAsia="仿宋_GB2312"/>
          <w:sz w:val="32"/>
          <w:szCs w:val="32"/>
        </w:rPr>
      </w:pPr>
      <w:r w:rsidRPr="00065F52">
        <w:rPr>
          <w:rFonts w:ascii="仿宋_GB2312" w:eastAsia="仿宋_GB2312" w:hint="eastAsia"/>
          <w:sz w:val="32"/>
          <w:szCs w:val="32"/>
        </w:rPr>
        <w:t>（3）审查期限短</w:t>
      </w:r>
    </w:p>
    <w:p w:rsidR="006B7F21" w:rsidRPr="00065F52" w:rsidRDefault="006B7F21" w:rsidP="006B7F21">
      <w:pPr>
        <w:spacing w:line="560" w:lineRule="exact"/>
        <w:ind w:firstLine="420"/>
        <w:rPr>
          <w:rFonts w:ascii="仿宋_GB2312" w:eastAsia="仿宋_GB2312"/>
          <w:sz w:val="32"/>
          <w:szCs w:val="32"/>
        </w:rPr>
      </w:pPr>
      <w:r w:rsidRPr="00065F52">
        <w:rPr>
          <w:rFonts w:ascii="仿宋_GB2312" w:eastAsia="仿宋_GB2312" w:hint="eastAsia"/>
          <w:sz w:val="32"/>
          <w:szCs w:val="32"/>
        </w:rPr>
        <w:t xml:space="preserve"> 根据现行法律及司法解释的规定，执行异议案件（不包括依当事人申请引发的执行异议案件）审查期限为15日，远远</w:t>
      </w:r>
      <w:r w:rsidR="00C15ED8">
        <w:rPr>
          <w:rFonts w:ascii="仿宋_GB2312" w:eastAsia="仿宋_GB2312" w:hint="eastAsia"/>
          <w:sz w:val="32"/>
          <w:szCs w:val="32"/>
        </w:rPr>
        <w:t>短</w:t>
      </w:r>
      <w:r w:rsidRPr="00065F52">
        <w:rPr>
          <w:rFonts w:ascii="仿宋_GB2312" w:eastAsia="仿宋_GB2312" w:hint="eastAsia"/>
          <w:sz w:val="32"/>
          <w:szCs w:val="32"/>
        </w:rPr>
        <w:t>于普通民事诉讼和执行案件的法定审限。</w:t>
      </w:r>
    </w:p>
    <w:p w:rsidR="006B7F21" w:rsidRPr="00065F52" w:rsidRDefault="006B7F21" w:rsidP="006B7F21">
      <w:pPr>
        <w:spacing w:line="560" w:lineRule="exact"/>
        <w:ind w:firstLineChars="200" w:firstLine="640"/>
        <w:rPr>
          <w:rFonts w:ascii="仿宋_GB2312" w:eastAsia="仿宋_GB2312"/>
          <w:sz w:val="32"/>
          <w:szCs w:val="32"/>
        </w:rPr>
      </w:pPr>
      <w:r w:rsidRPr="00065F52">
        <w:rPr>
          <w:rFonts w:ascii="仿宋_GB2312" w:eastAsia="仿宋_GB2312" w:hint="eastAsia"/>
          <w:sz w:val="32"/>
          <w:szCs w:val="32"/>
        </w:rPr>
        <w:t>（4）案外人异议各方当事人的利益难以兼顾</w:t>
      </w:r>
    </w:p>
    <w:p w:rsidR="006B7F21" w:rsidRPr="00065F52" w:rsidRDefault="006B7F21" w:rsidP="006B7F21">
      <w:pPr>
        <w:spacing w:line="560" w:lineRule="exact"/>
        <w:ind w:firstLine="420"/>
        <w:rPr>
          <w:rFonts w:ascii="仿宋_GB2312" w:eastAsia="仿宋_GB2312"/>
          <w:sz w:val="32"/>
          <w:szCs w:val="32"/>
        </w:rPr>
      </w:pPr>
      <w:r w:rsidRPr="00065F52">
        <w:rPr>
          <w:rFonts w:ascii="仿宋_GB2312" w:eastAsia="仿宋_GB2312" w:hint="eastAsia"/>
          <w:sz w:val="32"/>
          <w:szCs w:val="32"/>
        </w:rPr>
        <w:t xml:space="preserve"> 执行异议制度的立法目的是保护执行案件当事人、利害关系</w:t>
      </w:r>
      <w:proofErr w:type="gramStart"/>
      <w:r w:rsidRPr="00065F52">
        <w:rPr>
          <w:rFonts w:ascii="仿宋_GB2312" w:eastAsia="仿宋_GB2312" w:hint="eastAsia"/>
          <w:sz w:val="32"/>
          <w:szCs w:val="32"/>
        </w:rPr>
        <w:t>人和案</w:t>
      </w:r>
      <w:proofErr w:type="gramEnd"/>
      <w:r w:rsidRPr="00065F52">
        <w:rPr>
          <w:rFonts w:ascii="仿宋_GB2312" w:eastAsia="仿宋_GB2312" w:hint="eastAsia"/>
          <w:sz w:val="32"/>
          <w:szCs w:val="32"/>
        </w:rPr>
        <w:t>外人的合法权益免受侵害，以权利制约权力，给执行权戴上“紧箍咒”，涂上“防腐剂”。</w:t>
      </w:r>
    </w:p>
    <w:p w:rsidR="006B7F21" w:rsidRPr="00065F52" w:rsidRDefault="006B7F21" w:rsidP="006B7F21">
      <w:pPr>
        <w:spacing w:line="560" w:lineRule="exact"/>
        <w:ind w:firstLine="420"/>
        <w:rPr>
          <w:rFonts w:ascii="仿宋_GB2312" w:eastAsia="仿宋_GB2312"/>
          <w:sz w:val="32"/>
          <w:szCs w:val="32"/>
        </w:rPr>
      </w:pPr>
      <w:r w:rsidRPr="00065F52">
        <w:rPr>
          <w:rFonts w:ascii="仿宋_GB2312" w:eastAsia="仿宋_GB2312" w:hint="eastAsia"/>
          <w:sz w:val="32"/>
          <w:szCs w:val="32"/>
        </w:rPr>
        <w:t xml:space="preserve"> 实践中，案外人执行异议不同于普通的执行案件只有申请执行人与被执行人，增加了对执行标的主张实体权利的案外人，由于执行标的</w:t>
      </w:r>
      <w:proofErr w:type="gramStart"/>
      <w:r w:rsidRPr="00065F52">
        <w:rPr>
          <w:rFonts w:ascii="仿宋_GB2312" w:eastAsia="仿宋_GB2312" w:hint="eastAsia"/>
          <w:sz w:val="32"/>
          <w:szCs w:val="32"/>
        </w:rPr>
        <w:t>的</w:t>
      </w:r>
      <w:proofErr w:type="gramEnd"/>
      <w:r w:rsidRPr="00065F52">
        <w:rPr>
          <w:rFonts w:ascii="仿宋_GB2312" w:eastAsia="仿宋_GB2312" w:hint="eastAsia"/>
          <w:sz w:val="32"/>
          <w:szCs w:val="32"/>
        </w:rPr>
        <w:t>唯一性，案外人与申请执行人的主张直接对立，而且二者之间往往没有任何法律关系，不可能同时满足双方的要求，也没有和解的可能；案外人异议案件群体性较多，尤其当被执行人是某个房地产开发企业的时候，往往会引发几十上百起案外人异议案件，此类</w:t>
      </w:r>
      <w:proofErr w:type="gramStart"/>
      <w:r w:rsidRPr="00065F52">
        <w:rPr>
          <w:rFonts w:ascii="仿宋_GB2312" w:eastAsia="仿宋_GB2312" w:hint="eastAsia"/>
          <w:sz w:val="32"/>
          <w:szCs w:val="32"/>
        </w:rPr>
        <w:t>群体性案外人</w:t>
      </w:r>
      <w:proofErr w:type="gramEnd"/>
      <w:r w:rsidRPr="00065F52">
        <w:rPr>
          <w:rFonts w:ascii="仿宋_GB2312" w:eastAsia="仿宋_GB2312" w:hint="eastAsia"/>
          <w:sz w:val="32"/>
          <w:szCs w:val="32"/>
        </w:rPr>
        <w:t>异议案件审查实践中社会隐患大，实务中有些</w:t>
      </w:r>
      <w:proofErr w:type="gramStart"/>
      <w:r w:rsidRPr="00065F52">
        <w:rPr>
          <w:rFonts w:ascii="仿宋_GB2312" w:eastAsia="仿宋_GB2312" w:hint="eastAsia"/>
          <w:sz w:val="32"/>
          <w:szCs w:val="32"/>
        </w:rPr>
        <w:t>群体性案外人</w:t>
      </w:r>
      <w:proofErr w:type="gramEnd"/>
      <w:r w:rsidRPr="00065F52">
        <w:rPr>
          <w:rFonts w:ascii="仿宋_GB2312" w:eastAsia="仿宋_GB2312" w:hint="eastAsia"/>
          <w:sz w:val="32"/>
          <w:szCs w:val="32"/>
        </w:rPr>
        <w:lastRenderedPageBreak/>
        <w:t>收到执行裁定后，拒不提起诉讼，反而一直以信访的方式反映问题。</w:t>
      </w:r>
    </w:p>
    <w:p w:rsidR="006B7F21" w:rsidRPr="00065F52" w:rsidRDefault="006B7F21" w:rsidP="006B7F21">
      <w:pPr>
        <w:spacing w:line="560" w:lineRule="exact"/>
        <w:ind w:firstLine="420"/>
        <w:rPr>
          <w:rFonts w:ascii="仿宋_GB2312" w:eastAsia="仿宋_GB2312"/>
          <w:sz w:val="32"/>
          <w:szCs w:val="32"/>
        </w:rPr>
      </w:pPr>
      <w:r w:rsidRPr="00065F52">
        <w:rPr>
          <w:rFonts w:ascii="仿宋_GB2312" w:eastAsia="仿宋_GB2312" w:hint="eastAsia"/>
          <w:sz w:val="32"/>
          <w:szCs w:val="32"/>
        </w:rPr>
        <w:t xml:space="preserve"> 执行异议程序是执行程序的一个组成部分，当事人提起执行异议没有任何代价，实践中确实存在异议权利被“滥用”的情形。</w:t>
      </w:r>
    </w:p>
    <w:p w:rsidR="006B7F21" w:rsidRPr="00065F52" w:rsidRDefault="006B7F21" w:rsidP="006B7F21">
      <w:pPr>
        <w:keepNext/>
        <w:keepLines/>
        <w:spacing w:line="416" w:lineRule="auto"/>
        <w:ind w:firstLineChars="200" w:firstLine="640"/>
        <w:outlineLvl w:val="2"/>
        <w:rPr>
          <w:rFonts w:ascii="仿宋_GB2312" w:eastAsia="仿宋_GB2312"/>
          <w:bCs/>
          <w:sz w:val="32"/>
          <w:szCs w:val="32"/>
        </w:rPr>
      </w:pPr>
      <w:bookmarkStart w:id="21" w:name="_Toc36025646"/>
      <w:bookmarkStart w:id="22" w:name="_Toc36025670"/>
      <w:bookmarkStart w:id="23" w:name="_Toc36025832"/>
      <w:bookmarkStart w:id="24" w:name="_Toc36027078"/>
      <w:r w:rsidRPr="00065F52">
        <w:rPr>
          <w:rFonts w:ascii="仿宋_GB2312" w:eastAsia="仿宋_GB2312" w:hint="eastAsia"/>
          <w:bCs/>
          <w:sz w:val="32"/>
          <w:szCs w:val="32"/>
        </w:rPr>
        <w:t>3.执行异议的审查原则</w:t>
      </w:r>
      <w:bookmarkEnd w:id="21"/>
      <w:bookmarkEnd w:id="22"/>
      <w:bookmarkEnd w:id="23"/>
      <w:bookmarkEnd w:id="24"/>
    </w:p>
    <w:p w:rsidR="006B7F21" w:rsidRPr="00065F52" w:rsidRDefault="006B7F21" w:rsidP="006B7F21">
      <w:pPr>
        <w:spacing w:line="560" w:lineRule="exact"/>
        <w:ind w:firstLineChars="200" w:firstLine="640"/>
        <w:rPr>
          <w:rFonts w:ascii="仿宋_GB2312" w:eastAsia="仿宋_GB2312"/>
          <w:sz w:val="32"/>
          <w:szCs w:val="32"/>
        </w:rPr>
      </w:pPr>
      <w:r w:rsidRPr="00065F52">
        <w:rPr>
          <w:rFonts w:ascii="仿宋_GB2312" w:eastAsia="仿宋_GB2312" w:hint="eastAsia"/>
          <w:sz w:val="32"/>
          <w:szCs w:val="32"/>
        </w:rPr>
        <w:t>众所周知，和审判程序不同，执行程序的主要目的是迅速实现债权人经过生效法律文书确定的债权，效率是其基本价值取向。执行异议和复议程序的目的是解决执行过程中衍生的程序和实体争议，实际是执行程序的子程序。</w:t>
      </w:r>
    </w:p>
    <w:p w:rsidR="006B7F21" w:rsidRPr="00065F52" w:rsidRDefault="006B7F21" w:rsidP="006B7F21">
      <w:pPr>
        <w:spacing w:line="560" w:lineRule="exact"/>
        <w:ind w:firstLineChars="200" w:firstLine="640"/>
        <w:rPr>
          <w:rFonts w:ascii="仿宋_GB2312" w:eastAsia="仿宋_GB2312"/>
          <w:sz w:val="32"/>
          <w:szCs w:val="32"/>
        </w:rPr>
      </w:pPr>
      <w:r w:rsidRPr="00065F52">
        <w:rPr>
          <w:rFonts w:ascii="仿宋_GB2312" w:eastAsia="仿宋_GB2312" w:hint="eastAsia"/>
          <w:sz w:val="32"/>
          <w:szCs w:val="32"/>
        </w:rPr>
        <w:t>（1）救济有限原则：为了防止异议人滥用异议权阻滞执行，《最高人民法院关于人民法院办理执行异议和复议案件若干问题的规定》第六条对异议人提出异议的期限作了明确规定。第十五条规定禁止重复提起异议等防止程序被恶意利用的制度。</w:t>
      </w:r>
    </w:p>
    <w:p w:rsidR="006B7F21" w:rsidRPr="00065F52" w:rsidRDefault="006B7F21" w:rsidP="006B7F21">
      <w:pPr>
        <w:spacing w:line="560" w:lineRule="exact"/>
        <w:ind w:firstLineChars="200" w:firstLine="640"/>
        <w:rPr>
          <w:rFonts w:ascii="仿宋_GB2312" w:eastAsia="仿宋_GB2312"/>
          <w:sz w:val="32"/>
          <w:szCs w:val="32"/>
        </w:rPr>
      </w:pPr>
      <w:r w:rsidRPr="00065F52">
        <w:rPr>
          <w:rFonts w:ascii="仿宋_GB2312" w:eastAsia="仿宋_GB2312" w:hint="eastAsia"/>
          <w:sz w:val="32"/>
          <w:szCs w:val="32"/>
        </w:rPr>
        <w:t>（2）书面审查原则：为了避免拖延，书面审查是审查执行异议和复议案件的主要方式，只有案情复杂、争议较大的案件才开庭听证。</w:t>
      </w:r>
    </w:p>
    <w:p w:rsidR="006B7F21" w:rsidRPr="00065F52" w:rsidRDefault="006B7F21" w:rsidP="006B7F21">
      <w:pPr>
        <w:spacing w:line="560" w:lineRule="exact"/>
        <w:ind w:firstLineChars="200" w:firstLine="640"/>
        <w:rPr>
          <w:rFonts w:ascii="仿宋_GB2312" w:eastAsia="仿宋_GB2312"/>
          <w:sz w:val="32"/>
          <w:szCs w:val="32"/>
        </w:rPr>
      </w:pPr>
      <w:r w:rsidRPr="00065F52">
        <w:rPr>
          <w:rFonts w:ascii="仿宋_GB2312" w:eastAsia="仿宋_GB2312" w:hint="eastAsia"/>
          <w:sz w:val="32"/>
          <w:szCs w:val="32"/>
        </w:rPr>
        <w:t>（3）形式审查原则：由于只有15日的审查期间，且有异议之诉</w:t>
      </w:r>
      <w:proofErr w:type="gramStart"/>
      <w:r w:rsidRPr="00065F52">
        <w:rPr>
          <w:rFonts w:ascii="仿宋_GB2312" w:eastAsia="仿宋_GB2312" w:hint="eastAsia"/>
          <w:sz w:val="32"/>
          <w:szCs w:val="32"/>
        </w:rPr>
        <w:t>做为</w:t>
      </w:r>
      <w:proofErr w:type="gramEnd"/>
      <w:r w:rsidRPr="00065F52">
        <w:rPr>
          <w:rFonts w:ascii="仿宋_GB2312" w:eastAsia="仿宋_GB2312" w:hint="eastAsia"/>
          <w:sz w:val="32"/>
          <w:szCs w:val="32"/>
        </w:rPr>
        <w:t>最终裁判，案外人异议审查原则上根据执行标的</w:t>
      </w:r>
      <w:proofErr w:type="gramStart"/>
      <w:r w:rsidRPr="00065F52">
        <w:rPr>
          <w:rFonts w:ascii="仿宋_GB2312" w:eastAsia="仿宋_GB2312" w:hint="eastAsia"/>
          <w:sz w:val="32"/>
          <w:szCs w:val="32"/>
        </w:rPr>
        <w:t>的</w:t>
      </w:r>
      <w:proofErr w:type="gramEnd"/>
      <w:r w:rsidRPr="00065F52">
        <w:rPr>
          <w:rFonts w:ascii="仿宋_GB2312" w:eastAsia="仿宋_GB2312" w:hint="eastAsia"/>
          <w:sz w:val="32"/>
          <w:szCs w:val="32"/>
        </w:rPr>
        <w:t>权利外观表彰来判断权属，在有体物作为执行标的之案外人异议案件中，权属判断标准为物权公示原则，在有体物以外的其他权利和利益（如股权、知识产权等）作为执行标的之案外人异议案件中，权属判断标准为权利外观主义。</w:t>
      </w:r>
    </w:p>
    <w:p w:rsidR="006B7F21" w:rsidRPr="00065F52" w:rsidRDefault="006B7F21" w:rsidP="006B7F21">
      <w:pPr>
        <w:keepNext/>
        <w:keepLines/>
        <w:spacing w:line="416" w:lineRule="auto"/>
        <w:ind w:firstLineChars="200" w:firstLine="640"/>
        <w:outlineLvl w:val="1"/>
        <w:rPr>
          <w:rFonts w:ascii="楷体_GB2312" w:eastAsia="楷体_GB2312" w:hAnsi="Calibri Light"/>
          <w:bCs/>
          <w:sz w:val="32"/>
          <w:szCs w:val="32"/>
        </w:rPr>
      </w:pPr>
      <w:bookmarkStart w:id="25" w:name="_Toc36025647"/>
      <w:bookmarkStart w:id="26" w:name="_Toc36025671"/>
      <w:bookmarkStart w:id="27" w:name="_Toc36025833"/>
      <w:bookmarkStart w:id="28" w:name="_Toc36027079"/>
      <w:r w:rsidRPr="00065F52">
        <w:rPr>
          <w:rFonts w:ascii="楷体_GB2312" w:eastAsia="楷体_GB2312" w:hAnsi="Calibri Light" w:hint="eastAsia"/>
          <w:bCs/>
          <w:sz w:val="32"/>
          <w:szCs w:val="32"/>
        </w:rPr>
        <w:lastRenderedPageBreak/>
        <w:t>（二）执行异议之诉的类型、特点及审查原则</w:t>
      </w:r>
      <w:bookmarkEnd w:id="25"/>
      <w:bookmarkEnd w:id="26"/>
      <w:bookmarkEnd w:id="27"/>
      <w:bookmarkEnd w:id="28"/>
    </w:p>
    <w:p w:rsidR="006B7F21" w:rsidRPr="00065F52" w:rsidRDefault="006B7F21" w:rsidP="006B7F21">
      <w:pPr>
        <w:keepNext/>
        <w:keepLines/>
        <w:spacing w:line="416" w:lineRule="auto"/>
        <w:ind w:firstLineChars="250" w:firstLine="800"/>
        <w:outlineLvl w:val="2"/>
        <w:rPr>
          <w:rFonts w:ascii="仿宋_GB2312" w:eastAsia="仿宋_GB2312" w:hAnsi="宋体"/>
          <w:bCs/>
          <w:sz w:val="32"/>
          <w:szCs w:val="32"/>
        </w:rPr>
      </w:pPr>
      <w:bookmarkStart w:id="29" w:name="_Toc36025648"/>
      <w:bookmarkStart w:id="30" w:name="_Toc36025672"/>
      <w:bookmarkStart w:id="31" w:name="_Toc36025834"/>
      <w:bookmarkStart w:id="32" w:name="_Toc36027080"/>
      <w:r w:rsidRPr="00065F52">
        <w:rPr>
          <w:rFonts w:ascii="仿宋_GB2312" w:eastAsia="仿宋_GB2312" w:hAnsi="宋体" w:hint="eastAsia"/>
          <w:bCs/>
          <w:sz w:val="32"/>
          <w:szCs w:val="32"/>
        </w:rPr>
        <w:t>1.执行异议之诉的类型</w:t>
      </w:r>
      <w:bookmarkEnd w:id="29"/>
      <w:bookmarkEnd w:id="30"/>
      <w:bookmarkEnd w:id="31"/>
      <w:bookmarkEnd w:id="32"/>
    </w:p>
    <w:p w:rsidR="006B7F21" w:rsidRPr="00065F52" w:rsidRDefault="006B7F21" w:rsidP="006B7F21">
      <w:pPr>
        <w:spacing w:line="560" w:lineRule="exact"/>
        <w:ind w:firstLineChars="200" w:firstLine="640"/>
        <w:rPr>
          <w:rFonts w:ascii="仿宋_GB2312" w:eastAsia="仿宋_GB2312" w:hAnsi="宋体"/>
          <w:sz w:val="32"/>
          <w:szCs w:val="32"/>
        </w:rPr>
      </w:pPr>
      <w:r w:rsidRPr="00065F52">
        <w:rPr>
          <w:rFonts w:ascii="仿宋_GB2312" w:eastAsia="仿宋_GB2312" w:hAnsi="宋体" w:hint="eastAsia"/>
          <w:sz w:val="32"/>
          <w:szCs w:val="32"/>
        </w:rPr>
        <w:t>（1）案外人执行异议之诉与申请执行人执行异议之诉。    形成执行异议之诉，首先</w:t>
      </w:r>
      <w:proofErr w:type="gramStart"/>
      <w:r w:rsidRPr="00065F52">
        <w:rPr>
          <w:rFonts w:ascii="仿宋_GB2312" w:eastAsia="仿宋_GB2312" w:hAnsi="宋体" w:hint="eastAsia"/>
          <w:sz w:val="32"/>
          <w:szCs w:val="32"/>
        </w:rPr>
        <w:t>要由案外人</w:t>
      </w:r>
      <w:proofErr w:type="gramEnd"/>
      <w:r w:rsidRPr="00065F52">
        <w:rPr>
          <w:rFonts w:ascii="仿宋_GB2312" w:eastAsia="仿宋_GB2312" w:hAnsi="宋体" w:hint="eastAsia"/>
          <w:sz w:val="32"/>
          <w:szCs w:val="32"/>
        </w:rPr>
        <w:t>针对被保全财产提出保全异议或执行异议，经过执行部门的执行审查程序，确认为执行行为异议或执行实体异议。对属于执行实体异议的，执行部门在执行审查程序中进行实体审查并</w:t>
      </w:r>
      <w:proofErr w:type="gramStart"/>
      <w:r w:rsidRPr="00065F52">
        <w:rPr>
          <w:rFonts w:ascii="仿宋_GB2312" w:eastAsia="仿宋_GB2312" w:hAnsi="宋体" w:hint="eastAsia"/>
          <w:sz w:val="32"/>
          <w:szCs w:val="32"/>
        </w:rPr>
        <w:t>作出</w:t>
      </w:r>
      <w:proofErr w:type="gramEnd"/>
      <w:r w:rsidRPr="00065F52">
        <w:rPr>
          <w:rFonts w:ascii="仿宋_GB2312" w:eastAsia="仿宋_GB2312" w:hAnsi="宋体" w:hint="eastAsia"/>
          <w:sz w:val="32"/>
          <w:szCs w:val="32"/>
        </w:rPr>
        <w:t>执行裁定书，确认是否</w:t>
      </w:r>
      <w:proofErr w:type="gramStart"/>
      <w:r w:rsidRPr="00065F52">
        <w:rPr>
          <w:rFonts w:ascii="仿宋_GB2312" w:eastAsia="仿宋_GB2312" w:hAnsi="宋体" w:hint="eastAsia"/>
          <w:sz w:val="32"/>
          <w:szCs w:val="32"/>
        </w:rPr>
        <w:t>支持案</w:t>
      </w:r>
      <w:proofErr w:type="gramEnd"/>
      <w:r w:rsidRPr="00065F52">
        <w:rPr>
          <w:rFonts w:ascii="仿宋_GB2312" w:eastAsia="仿宋_GB2312" w:hAnsi="宋体" w:hint="eastAsia"/>
          <w:sz w:val="32"/>
          <w:szCs w:val="32"/>
        </w:rPr>
        <w:t>外人的异议。根据执行裁定书的认定，案外人和申请执行人均有权在法定期限内提起执行异议之诉。因此，根据提起诉讼的不同主体，可以</w:t>
      </w:r>
      <w:proofErr w:type="gramStart"/>
      <w:r w:rsidRPr="00065F52">
        <w:rPr>
          <w:rFonts w:ascii="仿宋_GB2312" w:eastAsia="仿宋_GB2312" w:hAnsi="宋体" w:hint="eastAsia"/>
          <w:sz w:val="32"/>
          <w:szCs w:val="32"/>
        </w:rPr>
        <w:t>分为案</w:t>
      </w:r>
      <w:proofErr w:type="gramEnd"/>
      <w:r w:rsidRPr="00065F52">
        <w:rPr>
          <w:rFonts w:ascii="仿宋_GB2312" w:eastAsia="仿宋_GB2312" w:hAnsi="宋体" w:hint="eastAsia"/>
          <w:sz w:val="32"/>
          <w:szCs w:val="32"/>
        </w:rPr>
        <w:t>外人执行异议之诉和申请执行人执行异议之诉。</w:t>
      </w:r>
    </w:p>
    <w:p w:rsidR="006B7F21" w:rsidRPr="00065F52" w:rsidRDefault="006B7F21" w:rsidP="006B7F21">
      <w:pPr>
        <w:spacing w:line="560" w:lineRule="exact"/>
        <w:ind w:firstLineChars="200" w:firstLine="640"/>
        <w:rPr>
          <w:rFonts w:ascii="仿宋_GB2312" w:eastAsia="仿宋_GB2312" w:hAnsi="宋体"/>
          <w:color w:val="242424"/>
          <w:sz w:val="32"/>
          <w:szCs w:val="32"/>
        </w:rPr>
      </w:pPr>
      <w:r w:rsidRPr="00065F52">
        <w:rPr>
          <w:rFonts w:ascii="仿宋_GB2312" w:eastAsia="仿宋_GB2312" w:hAnsi="宋体" w:hint="eastAsia"/>
          <w:sz w:val="32"/>
          <w:szCs w:val="32"/>
        </w:rPr>
        <w:t>对于被执行人是否能提出执行异议之诉，民事诉讼法及司法解释规定，</w:t>
      </w:r>
      <w:r w:rsidRPr="00065F52">
        <w:rPr>
          <w:rFonts w:ascii="仿宋_GB2312" w:eastAsia="仿宋_GB2312" w:hAnsi="宋体" w:hint="eastAsia"/>
          <w:color w:val="242424"/>
          <w:sz w:val="32"/>
          <w:szCs w:val="32"/>
        </w:rPr>
        <w:t>申请执行人对中止执行裁定未提起执行异议之诉，被执行人提起执行异议之诉的，人民法院应告知其另行起诉。因此，传统民诉法体系中的案外人异议，实际未赋予被执行人提起执行异议之诉的诉权。但近年来有新的司法解释对此有所突破，具体诉讼类型将在下文中涉及。</w:t>
      </w:r>
    </w:p>
    <w:p w:rsidR="006B7F21" w:rsidRPr="00065F52" w:rsidRDefault="006B7F21" w:rsidP="006B7F21">
      <w:pPr>
        <w:spacing w:line="560" w:lineRule="exact"/>
        <w:ind w:firstLineChars="200" w:firstLine="640"/>
        <w:rPr>
          <w:rFonts w:ascii="仿宋_GB2312" w:eastAsia="仿宋_GB2312" w:hAnsi="宋体"/>
          <w:sz w:val="32"/>
          <w:szCs w:val="32"/>
        </w:rPr>
      </w:pPr>
      <w:r w:rsidRPr="00065F52">
        <w:rPr>
          <w:rFonts w:ascii="仿宋_GB2312" w:eastAsia="仿宋_GB2312" w:hAnsi="宋体" w:hint="eastAsia"/>
          <w:sz w:val="32"/>
          <w:szCs w:val="32"/>
        </w:rPr>
        <w:t>（2）诉讼保全异议之诉。2016年12月1日开始实施的《最高人民法院关于人民法院办理财产保全案件若干问题的规定》明确了一类新型执行异议之诉：诉讼保全异议之诉。这类诉讼是指法院在本诉审理过程中，对诉讼争议标的以外的财产进行保全，案外人对保全裁定实施过程中的执行行为不服，基于实体权利对被保全财产提出异议申请的，法院应当依照执行异议之诉的规定进行审查处理。</w:t>
      </w:r>
    </w:p>
    <w:p w:rsidR="006B7F21" w:rsidRPr="00065F52" w:rsidRDefault="006B7F21" w:rsidP="006B7F21">
      <w:pPr>
        <w:spacing w:line="560" w:lineRule="exact"/>
        <w:ind w:firstLineChars="200" w:firstLine="640"/>
        <w:rPr>
          <w:rFonts w:ascii="仿宋_GB2312" w:eastAsia="仿宋_GB2312" w:hAnsi="宋体"/>
          <w:sz w:val="32"/>
          <w:szCs w:val="32"/>
        </w:rPr>
      </w:pPr>
      <w:r w:rsidRPr="00065F52">
        <w:rPr>
          <w:rFonts w:ascii="仿宋_GB2312" w:eastAsia="仿宋_GB2312" w:hAnsi="宋体" w:hint="eastAsia"/>
          <w:sz w:val="32"/>
          <w:szCs w:val="32"/>
        </w:rPr>
        <w:lastRenderedPageBreak/>
        <w:t>诉讼保全异议之诉的设立，是审执分离制度设置下产生的一类诉讼类型。这类诉讼的关键点</w:t>
      </w:r>
      <w:proofErr w:type="gramStart"/>
      <w:r w:rsidRPr="00065F52">
        <w:rPr>
          <w:rFonts w:ascii="仿宋_GB2312" w:eastAsia="仿宋_GB2312" w:hAnsi="宋体" w:hint="eastAsia"/>
          <w:sz w:val="32"/>
          <w:szCs w:val="32"/>
        </w:rPr>
        <w:t>在于案</w:t>
      </w:r>
      <w:proofErr w:type="gramEnd"/>
      <w:r w:rsidRPr="00065F52">
        <w:rPr>
          <w:rFonts w:ascii="仿宋_GB2312" w:eastAsia="仿宋_GB2312" w:hAnsi="宋体" w:hint="eastAsia"/>
          <w:sz w:val="32"/>
          <w:szCs w:val="32"/>
        </w:rPr>
        <w:t>外人所针对标的物系本诉标的之外的保全物。如果本诉标的与保全标的为同一标的物，则不构成保全异议之诉。保全异议之诉的设立，将案外人提出执行异议之诉的时间点从执行阶段前推至诉讼保全或诉前保全阶段</w:t>
      </w:r>
      <w:r w:rsidR="00D0315D">
        <w:rPr>
          <w:rFonts w:ascii="仿宋_GB2312" w:eastAsia="仿宋_GB2312" w:hAnsi="宋体" w:hint="eastAsia"/>
          <w:sz w:val="32"/>
          <w:szCs w:val="32"/>
        </w:rPr>
        <w:t>，使保全标的物在诉讼阶段即能明确权属，避免了执行标的在进入执行程序</w:t>
      </w:r>
      <w:r w:rsidRPr="00065F52">
        <w:rPr>
          <w:rFonts w:ascii="仿宋_GB2312" w:eastAsia="仿宋_GB2312" w:hAnsi="宋体" w:hint="eastAsia"/>
          <w:sz w:val="32"/>
          <w:szCs w:val="32"/>
        </w:rPr>
        <w:t>或在执行分配过程中才提出异议而产生的巨大利益纠葛。本诉债权人也可以在诉讼阶段另寻无纠纷的保全物，以担保本诉债权的最终实现，避免进入执行阶段再因案外人的异议导致债权不能实现，丧失另寻保全物的时机。</w:t>
      </w:r>
    </w:p>
    <w:p w:rsidR="006B7F21" w:rsidRPr="00065F52" w:rsidRDefault="006B7F21" w:rsidP="006B7F21">
      <w:pPr>
        <w:spacing w:line="560" w:lineRule="exact"/>
        <w:ind w:firstLineChars="200" w:firstLine="640"/>
        <w:rPr>
          <w:rFonts w:ascii="仿宋_GB2312" w:eastAsia="仿宋_GB2312" w:hAnsi="宋体"/>
          <w:sz w:val="32"/>
          <w:szCs w:val="32"/>
        </w:rPr>
      </w:pPr>
      <w:r w:rsidRPr="00065F52">
        <w:rPr>
          <w:rFonts w:ascii="仿宋_GB2312" w:eastAsia="仿宋_GB2312" w:hAnsi="宋体" w:hint="eastAsia"/>
          <w:sz w:val="32"/>
          <w:szCs w:val="32"/>
        </w:rPr>
        <w:t>（3）追加被执行人执行异议之诉。2</w:t>
      </w:r>
      <w:r w:rsidRPr="00065F52">
        <w:rPr>
          <w:rFonts w:ascii="仿宋_GB2312" w:eastAsia="仿宋_GB2312" w:hAnsi="宋体" w:cs="黑体" w:hint="eastAsia"/>
          <w:sz w:val="32"/>
          <w:szCs w:val="32"/>
        </w:rPr>
        <w:t>016年12月1日实施的</w:t>
      </w:r>
      <w:r w:rsidRPr="00065F52">
        <w:rPr>
          <w:rFonts w:ascii="仿宋_GB2312" w:eastAsia="仿宋_GB2312" w:hAnsi="宋体" w:hint="eastAsia"/>
          <w:sz w:val="32"/>
          <w:szCs w:val="32"/>
        </w:rPr>
        <w:t>《</w:t>
      </w:r>
      <w:r w:rsidRPr="00065F52">
        <w:rPr>
          <w:rFonts w:ascii="仿宋_GB2312" w:eastAsia="仿宋_GB2312" w:hAnsi="宋体" w:hint="eastAsia"/>
          <w:bCs/>
          <w:sz w:val="32"/>
          <w:szCs w:val="32"/>
        </w:rPr>
        <w:t>最高人民法院关于民事执行中变更、追加当事人若干问题的规定</w:t>
      </w:r>
      <w:r w:rsidRPr="00065F52">
        <w:rPr>
          <w:rFonts w:ascii="仿宋_GB2312" w:eastAsia="仿宋_GB2312" w:hAnsi="宋体" w:hint="eastAsia"/>
          <w:sz w:val="32"/>
          <w:szCs w:val="32"/>
        </w:rPr>
        <w:t>》中规定，在执行程序中变更、追加被执行人要区分情况予以对待，大部分的变更、追加被执行人仍然属于执行行为异议，通过执行复议程序处理。但部分变更、追加被执行人的执行行为则会引发执行异议之诉。</w:t>
      </w:r>
      <w:r w:rsidRPr="00065F52">
        <w:rPr>
          <w:rFonts w:ascii="仿宋_GB2312" w:eastAsia="仿宋_GB2312" w:hAnsi="宋体" w:cs="黑体" w:hint="eastAsia"/>
          <w:sz w:val="32"/>
          <w:szCs w:val="32"/>
        </w:rPr>
        <w:t>根据该规定</w:t>
      </w:r>
      <w:r w:rsidRPr="00065F52">
        <w:rPr>
          <w:rFonts w:ascii="仿宋_GB2312" w:eastAsia="仿宋_GB2312" w:hAnsi="宋体" w:hint="eastAsia"/>
          <w:sz w:val="32"/>
          <w:szCs w:val="32"/>
        </w:rPr>
        <w:t>第三十二条：“被申请人或申请人对执行法院依据本规定第十四条第二款、第十七条至第二十一条规</w:t>
      </w:r>
      <w:proofErr w:type="gramStart"/>
      <w:r w:rsidRPr="00065F52">
        <w:rPr>
          <w:rFonts w:ascii="仿宋_GB2312" w:eastAsia="仿宋_GB2312" w:hAnsi="宋体" w:hint="eastAsia"/>
          <w:sz w:val="32"/>
          <w:szCs w:val="32"/>
        </w:rPr>
        <w:t>定作</w:t>
      </w:r>
      <w:proofErr w:type="gramEnd"/>
      <w:r w:rsidRPr="00065F52">
        <w:rPr>
          <w:rFonts w:ascii="仿宋_GB2312" w:eastAsia="仿宋_GB2312" w:hAnsi="宋体" w:hint="eastAsia"/>
          <w:sz w:val="32"/>
          <w:szCs w:val="32"/>
        </w:rPr>
        <w:t>出的变更、追加裁定或驳回申请裁定不服的，可以自裁定书送达之日起十五日内，向执行法院提起执行异议之诉。” 根据上述法条进行总结，在执行过程中，因追加被执行人而引发的执行异议之诉，主要包括以下几种情形：1、有限合伙企业的财产不能清偿债务，未按期足额缴纳出资的有限合伙人被追加为被执</w:t>
      </w:r>
      <w:r w:rsidRPr="00065F52">
        <w:rPr>
          <w:rFonts w:ascii="仿宋_GB2312" w:eastAsia="仿宋_GB2312" w:hAnsi="宋体" w:hint="eastAsia"/>
          <w:sz w:val="32"/>
          <w:szCs w:val="32"/>
        </w:rPr>
        <w:lastRenderedPageBreak/>
        <w:t>行人的；2、企业法人财产不足以清偿债务，未缴纳或未足额缴纳出资的股东、出资人或依公司法规定对该出资承担连带责任的发起人或抽逃出资的股东、出资人被追加为被执行人的；3、公司财产不足以清偿债务，未依法履行出资义务即转让股权的股东或依公司法规定对该出资承担连带责任的发起人</w:t>
      </w:r>
      <w:r w:rsidR="00D0315D">
        <w:rPr>
          <w:rFonts w:ascii="仿宋_GB2312" w:eastAsia="仿宋_GB2312" w:hAnsi="宋体" w:hint="eastAsia"/>
          <w:sz w:val="32"/>
          <w:szCs w:val="32"/>
        </w:rPr>
        <w:t>被</w:t>
      </w:r>
      <w:r w:rsidRPr="00065F52">
        <w:rPr>
          <w:rFonts w:ascii="仿宋_GB2312" w:eastAsia="仿宋_GB2312" w:hAnsi="宋体" w:hint="eastAsia"/>
          <w:sz w:val="32"/>
          <w:szCs w:val="32"/>
        </w:rPr>
        <w:t>追加为被执行人的；4、一人有限责任公司的财产不足以清偿债务，股东不能证明公司财产独立于自己的财产而被追加为被执行人的；5、公司未经清算即办理注销登记，导致公司无法进行清算，有限责任公司的股东、股份有限公司的董事和控股股东，对公司债务承担连带清偿责任的，被追加为被执行人的。</w:t>
      </w:r>
    </w:p>
    <w:p w:rsidR="006B7F21" w:rsidRPr="00065F52" w:rsidRDefault="006B7F21" w:rsidP="006B7F21">
      <w:pPr>
        <w:spacing w:line="560" w:lineRule="exact"/>
        <w:ind w:firstLineChars="200" w:firstLine="640"/>
        <w:rPr>
          <w:rFonts w:ascii="仿宋_GB2312" w:eastAsia="仿宋_GB2312" w:hAnsi="宋体"/>
          <w:sz w:val="32"/>
          <w:szCs w:val="32"/>
          <w:shd w:val="clear" w:color="auto" w:fill="FFFFFF"/>
        </w:rPr>
      </w:pPr>
      <w:r w:rsidRPr="00065F52">
        <w:rPr>
          <w:rFonts w:ascii="仿宋_GB2312" w:eastAsia="仿宋_GB2312" w:hAnsi="宋体" w:hint="eastAsia"/>
          <w:sz w:val="32"/>
          <w:szCs w:val="32"/>
          <w:shd w:val="clear" w:color="auto" w:fill="FFFFFF"/>
        </w:rPr>
        <w:t>前文已述，传统</w:t>
      </w:r>
      <w:r w:rsidRPr="00065F52">
        <w:rPr>
          <w:rFonts w:ascii="仿宋_GB2312" w:eastAsia="仿宋_GB2312" w:hAnsi="宋体" w:cs="Tahoma" w:hint="eastAsia"/>
          <w:sz w:val="32"/>
          <w:szCs w:val="32"/>
          <w:shd w:val="clear" w:color="auto" w:fill="FFFFFF"/>
        </w:rPr>
        <w:t>民事诉讼法及司法解释体系中，</w:t>
      </w:r>
      <w:r w:rsidRPr="00065F52">
        <w:rPr>
          <w:rFonts w:ascii="仿宋_GB2312" w:eastAsia="仿宋_GB2312" w:hAnsi="宋体" w:hint="eastAsia"/>
          <w:sz w:val="32"/>
          <w:szCs w:val="32"/>
          <w:shd w:val="clear" w:color="auto" w:fill="FFFFFF"/>
        </w:rPr>
        <w:t>没有被执行人执行异议之诉。但</w:t>
      </w:r>
      <w:r w:rsidRPr="00065F52">
        <w:rPr>
          <w:rFonts w:ascii="仿宋_GB2312" w:eastAsia="仿宋_GB2312" w:hAnsi="宋体" w:hint="eastAsia"/>
          <w:sz w:val="32"/>
          <w:szCs w:val="32"/>
        </w:rPr>
        <w:t>《</w:t>
      </w:r>
      <w:r w:rsidRPr="00065F52">
        <w:rPr>
          <w:rFonts w:ascii="仿宋_GB2312" w:eastAsia="仿宋_GB2312" w:hAnsi="宋体" w:hint="eastAsia"/>
          <w:bCs/>
          <w:sz w:val="32"/>
          <w:szCs w:val="32"/>
        </w:rPr>
        <w:t>最高人民法院关于民事执行中变更、追加当事人若干问题的规定</w:t>
      </w:r>
      <w:r w:rsidRPr="00065F52">
        <w:rPr>
          <w:rFonts w:ascii="仿宋_GB2312" w:eastAsia="仿宋_GB2312" w:hAnsi="宋体" w:hint="eastAsia"/>
          <w:sz w:val="32"/>
          <w:szCs w:val="32"/>
        </w:rPr>
        <w:t>》第三十二条中被申请追加或变更的当事人身份属于被执行人，其是基于对追加或变更行为的不认可，提出的其</w:t>
      </w:r>
      <w:proofErr w:type="gramStart"/>
      <w:r w:rsidRPr="00065F52">
        <w:rPr>
          <w:rFonts w:ascii="仿宋_GB2312" w:eastAsia="仿宋_GB2312" w:hAnsi="宋体" w:hint="eastAsia"/>
          <w:sz w:val="32"/>
          <w:szCs w:val="32"/>
        </w:rPr>
        <w:t>并非适格的</w:t>
      </w:r>
      <w:proofErr w:type="gramEnd"/>
      <w:r w:rsidRPr="00065F52">
        <w:rPr>
          <w:rFonts w:ascii="仿宋_GB2312" w:eastAsia="仿宋_GB2312" w:hAnsi="宋体" w:hint="eastAsia"/>
          <w:sz w:val="32"/>
          <w:szCs w:val="32"/>
        </w:rPr>
        <w:t>被执行人而引发的执行异议之诉，</w:t>
      </w:r>
      <w:r w:rsidRPr="00065F52">
        <w:rPr>
          <w:rFonts w:ascii="仿宋_GB2312" w:eastAsia="仿宋_GB2312" w:hAnsi="宋体" w:hint="eastAsia"/>
          <w:sz w:val="32"/>
          <w:szCs w:val="32"/>
          <w:shd w:val="clear" w:color="auto" w:fill="FFFFFF"/>
        </w:rPr>
        <w:t>属于被执行人执行异议之诉。</w:t>
      </w:r>
    </w:p>
    <w:p w:rsidR="006B7F21" w:rsidRPr="00065F52" w:rsidRDefault="006B7F21" w:rsidP="006B7F21">
      <w:pPr>
        <w:spacing w:line="560" w:lineRule="exact"/>
        <w:ind w:firstLineChars="200" w:firstLine="640"/>
        <w:rPr>
          <w:rFonts w:ascii="仿宋_GB2312" w:eastAsia="仿宋_GB2312" w:hAnsi="宋体"/>
          <w:sz w:val="32"/>
          <w:szCs w:val="32"/>
        </w:rPr>
      </w:pPr>
      <w:r w:rsidRPr="00065F52">
        <w:rPr>
          <w:rFonts w:ascii="仿宋_GB2312" w:eastAsia="仿宋_GB2312" w:hAnsi="宋体" w:hint="eastAsia"/>
          <w:sz w:val="32"/>
          <w:szCs w:val="32"/>
        </w:rPr>
        <w:t>（4）执行分配方案异议之诉。债权人或者被执行人对执行分配方案，有权提出书面异议，执行法院应当通知未提出异议的债权人、被执行人。未提出异议的债权人、被执行人收到通知后，可以提出反对意见。异议人收到反对意见后，可以在法定期间，针对提出反对意见的债权人、被执行人，向执行法院提起执行分配方案异议之诉。</w:t>
      </w:r>
    </w:p>
    <w:p w:rsidR="006B7F21" w:rsidRPr="00065F52" w:rsidRDefault="006B7F21" w:rsidP="006B7F21">
      <w:pPr>
        <w:spacing w:line="560" w:lineRule="exact"/>
        <w:ind w:firstLineChars="200" w:firstLine="640"/>
        <w:rPr>
          <w:rFonts w:ascii="仿宋_GB2312" w:eastAsia="仿宋_GB2312" w:hAnsi="宋体"/>
          <w:sz w:val="32"/>
          <w:szCs w:val="32"/>
        </w:rPr>
      </w:pPr>
      <w:r w:rsidRPr="00065F52">
        <w:rPr>
          <w:rFonts w:ascii="仿宋_GB2312" w:eastAsia="仿宋_GB2312" w:hAnsi="宋体" w:hint="eastAsia"/>
          <w:sz w:val="32"/>
          <w:szCs w:val="32"/>
        </w:rPr>
        <w:t>虽然，执行分配方案异议之诉在司法实践中案件数量不</w:t>
      </w:r>
      <w:r w:rsidRPr="00065F52">
        <w:rPr>
          <w:rFonts w:ascii="仿宋_GB2312" w:eastAsia="仿宋_GB2312" w:hAnsi="宋体" w:hint="eastAsia"/>
          <w:sz w:val="32"/>
          <w:szCs w:val="32"/>
        </w:rPr>
        <w:lastRenderedPageBreak/>
        <w:t>多，但切实涉及到申请执行人的利益分配问题。因执行分配方案异议</w:t>
      </w:r>
      <w:proofErr w:type="gramStart"/>
      <w:r w:rsidRPr="00065F52">
        <w:rPr>
          <w:rFonts w:ascii="仿宋_GB2312" w:eastAsia="仿宋_GB2312" w:hAnsi="宋体" w:hint="eastAsia"/>
          <w:sz w:val="32"/>
          <w:szCs w:val="32"/>
        </w:rPr>
        <w:t>之诉所审查</w:t>
      </w:r>
      <w:proofErr w:type="gramEnd"/>
      <w:r w:rsidRPr="00065F52">
        <w:rPr>
          <w:rFonts w:ascii="仿宋_GB2312" w:eastAsia="仿宋_GB2312" w:hAnsi="宋体" w:hint="eastAsia"/>
          <w:sz w:val="32"/>
          <w:szCs w:val="32"/>
        </w:rPr>
        <w:t>的主要涉及到执行分配中异议人的异议是否成立的问题，因此，异议人提起的执行异议分配方案</w:t>
      </w:r>
      <w:proofErr w:type="gramStart"/>
      <w:r w:rsidRPr="00065F52">
        <w:rPr>
          <w:rFonts w:ascii="仿宋_GB2312" w:eastAsia="仿宋_GB2312" w:hAnsi="宋体" w:hint="eastAsia"/>
          <w:sz w:val="32"/>
          <w:szCs w:val="32"/>
        </w:rPr>
        <w:t>之诉应明确</w:t>
      </w:r>
      <w:proofErr w:type="gramEnd"/>
      <w:r w:rsidRPr="00065F52">
        <w:rPr>
          <w:rFonts w:ascii="仿宋_GB2312" w:eastAsia="仿宋_GB2312" w:hAnsi="宋体" w:hint="eastAsia"/>
          <w:sz w:val="32"/>
          <w:szCs w:val="32"/>
        </w:rPr>
        <w:t>是对债权分配份额的异议或对债权分配顺位的异议。但如果当事人仅是针对其是否享有参与执行分配资格所提出异议，则不属于执行分配方案异议之诉，而应属于对执行行为所提出的异议，应当通过执行审查程序中的执行异议和复议程序处理。</w:t>
      </w:r>
    </w:p>
    <w:p w:rsidR="006B7F21" w:rsidRPr="00065F52" w:rsidRDefault="006B7F21" w:rsidP="006B7F21">
      <w:pPr>
        <w:keepNext/>
        <w:keepLines/>
        <w:spacing w:line="416" w:lineRule="auto"/>
        <w:ind w:firstLineChars="200" w:firstLine="640"/>
        <w:outlineLvl w:val="2"/>
        <w:rPr>
          <w:rFonts w:ascii="仿宋_GB2312" w:eastAsia="仿宋_GB2312" w:hAnsi="宋体"/>
          <w:bCs/>
          <w:sz w:val="32"/>
          <w:szCs w:val="32"/>
        </w:rPr>
      </w:pPr>
      <w:bookmarkStart w:id="33" w:name="_Toc36025649"/>
      <w:bookmarkStart w:id="34" w:name="_Toc36025673"/>
      <w:bookmarkStart w:id="35" w:name="_Toc36025835"/>
      <w:bookmarkStart w:id="36" w:name="_Toc36027081"/>
      <w:r w:rsidRPr="00065F52">
        <w:rPr>
          <w:rFonts w:ascii="仿宋_GB2312" w:eastAsia="仿宋_GB2312" w:hAnsi="宋体" w:hint="eastAsia"/>
          <w:bCs/>
          <w:sz w:val="32"/>
          <w:szCs w:val="32"/>
        </w:rPr>
        <w:t>2.执行异议之诉案件的主要特点</w:t>
      </w:r>
      <w:bookmarkEnd w:id="33"/>
      <w:bookmarkEnd w:id="34"/>
      <w:bookmarkEnd w:id="35"/>
      <w:bookmarkEnd w:id="36"/>
    </w:p>
    <w:p w:rsidR="006B7F21" w:rsidRPr="00065F52" w:rsidRDefault="006B7F21" w:rsidP="006B7F21">
      <w:pPr>
        <w:spacing w:line="560" w:lineRule="exact"/>
        <w:ind w:firstLineChars="200" w:firstLine="640"/>
        <w:rPr>
          <w:rFonts w:ascii="仿宋_GB2312" w:eastAsia="仿宋_GB2312" w:hAnsi="宋体"/>
          <w:sz w:val="32"/>
          <w:szCs w:val="32"/>
        </w:rPr>
      </w:pPr>
      <w:r w:rsidRPr="00065F52">
        <w:rPr>
          <w:rFonts w:ascii="仿宋_GB2312" w:eastAsia="仿宋_GB2312" w:hAnsi="宋体" w:hint="eastAsia"/>
          <w:sz w:val="32"/>
          <w:szCs w:val="32"/>
        </w:rPr>
        <w:t>（1）诉讼请求特殊化。执行异议之诉的目的在于排除对执行标的</w:t>
      </w:r>
      <w:proofErr w:type="gramStart"/>
      <w:r w:rsidRPr="00065F52">
        <w:rPr>
          <w:rFonts w:ascii="仿宋_GB2312" w:eastAsia="仿宋_GB2312" w:hAnsi="宋体" w:hint="eastAsia"/>
          <w:sz w:val="32"/>
          <w:szCs w:val="32"/>
        </w:rPr>
        <w:t>的</w:t>
      </w:r>
      <w:proofErr w:type="gramEnd"/>
      <w:r w:rsidRPr="00065F52">
        <w:rPr>
          <w:rFonts w:ascii="仿宋_GB2312" w:eastAsia="仿宋_GB2312" w:hAnsi="宋体" w:hint="eastAsia"/>
          <w:sz w:val="32"/>
          <w:szCs w:val="32"/>
        </w:rPr>
        <w:t>强制执行措施，因此，执行异议之诉的诉讼请求必须明确包含对执行标的许可执行或排除执行的请求。民事诉讼法规定，案外人在执行异议之诉中提起的确权诉讼请求，人民法院可以一并裁判。案外人提起执行异议的依据为其对执行标的享有实体上的权利，从法条规定“案外人提起确权诉讼，人民法院可以一并裁判”的文意分析，案外人提起确权诉讼是其排除执行措施的手段，因此，执行异议之诉的诉讼请求必须明确包括排除或继续执行措施的请求，而确权或给付、形成等普通民事诉讼请求，在执行异议之诉中主要是排除执行措施的手段和方式，并非执行异议之诉中必须的诉讼请求。相较普通民事诉讼而言，执行异议之诉的诉讼请求明显具有特殊性。</w:t>
      </w:r>
    </w:p>
    <w:p w:rsidR="006B7F21" w:rsidRPr="00065F52" w:rsidRDefault="006B7F21" w:rsidP="006B7F21">
      <w:pPr>
        <w:spacing w:line="560" w:lineRule="exact"/>
        <w:ind w:firstLineChars="200" w:firstLine="640"/>
        <w:rPr>
          <w:rFonts w:ascii="仿宋_GB2312" w:eastAsia="仿宋_GB2312" w:hAnsi="宋体"/>
          <w:sz w:val="32"/>
          <w:szCs w:val="32"/>
        </w:rPr>
      </w:pPr>
      <w:r w:rsidRPr="00065F52">
        <w:rPr>
          <w:rFonts w:ascii="仿宋_GB2312" w:eastAsia="仿宋_GB2312" w:hAnsi="宋体" w:hint="eastAsia"/>
          <w:sz w:val="32"/>
          <w:szCs w:val="32"/>
        </w:rPr>
        <w:t>（2）诉讼主体的特殊性。执行异议之诉的诉讼主体有别于普通民事诉讼。普通民事诉讼中，发动诉讼一方的诉讼</w:t>
      </w:r>
      <w:r w:rsidRPr="00065F52">
        <w:rPr>
          <w:rFonts w:ascii="仿宋_GB2312" w:eastAsia="仿宋_GB2312" w:hAnsi="宋体" w:hint="eastAsia"/>
          <w:sz w:val="32"/>
          <w:szCs w:val="32"/>
        </w:rPr>
        <w:lastRenderedPageBreak/>
        <w:t>地位列为原告。执行异议之诉的诉讼主体包括三方当事人，分别是申请执行人、被执行人、案外人。发动执行异议之诉的主体是案外人，但由于执行异议之</w:t>
      </w:r>
      <w:proofErr w:type="gramStart"/>
      <w:r w:rsidRPr="00065F52">
        <w:rPr>
          <w:rFonts w:ascii="仿宋_GB2312" w:eastAsia="仿宋_GB2312" w:hAnsi="宋体" w:hint="eastAsia"/>
          <w:sz w:val="32"/>
          <w:szCs w:val="32"/>
        </w:rPr>
        <w:t>诉存在</w:t>
      </w:r>
      <w:proofErr w:type="gramEnd"/>
      <w:r w:rsidRPr="00065F52">
        <w:rPr>
          <w:rFonts w:ascii="仿宋_GB2312" w:eastAsia="仿宋_GB2312" w:hAnsi="宋体" w:hint="eastAsia"/>
          <w:sz w:val="32"/>
          <w:szCs w:val="32"/>
        </w:rPr>
        <w:t>执行部分的前置审查程序，因此，不服执行异议前置程序裁决结果而提起执行异议之诉的原告可能是案外人，也可以能申请执行人。普通民事诉讼中，原告与被告之间存在直接相对的债权关系，但执行异议之诉的申请执行人与案外人之间没有直接的债权债务关系，而是与被执行人之间存在不同性质的债的关系。</w:t>
      </w:r>
    </w:p>
    <w:p w:rsidR="006B7F21" w:rsidRPr="00065F52" w:rsidRDefault="006B7F21" w:rsidP="006B7F21">
      <w:pPr>
        <w:spacing w:line="560" w:lineRule="exact"/>
        <w:ind w:firstLineChars="200" w:firstLine="640"/>
        <w:rPr>
          <w:rFonts w:ascii="仿宋_GB2312" w:eastAsia="仿宋_GB2312" w:hAnsi="宋体"/>
          <w:sz w:val="32"/>
          <w:szCs w:val="32"/>
        </w:rPr>
      </w:pPr>
      <w:r w:rsidRPr="00065F52">
        <w:rPr>
          <w:rFonts w:ascii="仿宋_GB2312" w:eastAsia="仿宋_GB2312" w:hAnsi="宋体" w:hint="eastAsia"/>
          <w:sz w:val="32"/>
          <w:szCs w:val="32"/>
        </w:rPr>
        <w:t>（3）诉讼标的涵盖范围广。执行异议之诉中，被保全、被执行财产具有多样性，案外人对执行标的提出实体主张所涉及的标的物范围必然广泛。如房屋和土地等不动产，机器设备、车辆等动产，还有银行存款、保证金、票据、仓单等各种类型的被保全标的。</w:t>
      </w:r>
    </w:p>
    <w:p w:rsidR="006B7F21" w:rsidRPr="00065F52" w:rsidRDefault="006B7F21" w:rsidP="006B7F21">
      <w:pPr>
        <w:spacing w:line="560" w:lineRule="exact"/>
        <w:ind w:firstLineChars="150" w:firstLine="480"/>
        <w:rPr>
          <w:rFonts w:ascii="仿宋_GB2312" w:eastAsia="仿宋_GB2312" w:hAnsi="宋体"/>
          <w:sz w:val="32"/>
          <w:szCs w:val="32"/>
        </w:rPr>
      </w:pPr>
      <w:r w:rsidRPr="00065F52">
        <w:rPr>
          <w:rFonts w:ascii="仿宋_GB2312" w:eastAsia="仿宋_GB2312" w:hAnsi="宋体" w:hint="eastAsia"/>
          <w:sz w:val="32"/>
          <w:szCs w:val="32"/>
        </w:rPr>
        <w:t>（4）基础法律关系复杂。案外人对不同执行标的主张权利主要以确权的形式表现，但由于标的物的广泛性必然导致基础法律关系的复杂化。实践中常见排除执行的法律关系包括：买卖合同、共有物分割、以物抵债、借用、租赁、隐名权利、代位权利等法律关系。</w:t>
      </w:r>
    </w:p>
    <w:p w:rsidR="006B7F21" w:rsidRPr="00065F52" w:rsidRDefault="006B7F21" w:rsidP="006B7F21">
      <w:pPr>
        <w:keepNext/>
        <w:keepLines/>
        <w:spacing w:line="416" w:lineRule="auto"/>
        <w:ind w:firstLineChars="200" w:firstLine="640"/>
        <w:outlineLvl w:val="2"/>
        <w:rPr>
          <w:rFonts w:ascii="仿宋_GB2312" w:eastAsia="仿宋_GB2312" w:hAnsi="宋体"/>
          <w:bCs/>
          <w:sz w:val="32"/>
          <w:szCs w:val="32"/>
        </w:rPr>
      </w:pPr>
      <w:bookmarkStart w:id="37" w:name="_Toc36025650"/>
      <w:bookmarkStart w:id="38" w:name="_Toc36025674"/>
      <w:bookmarkStart w:id="39" w:name="_Toc36025836"/>
      <w:bookmarkStart w:id="40" w:name="_Toc36027082"/>
      <w:r w:rsidRPr="00065F52">
        <w:rPr>
          <w:rFonts w:ascii="仿宋_GB2312" w:eastAsia="仿宋_GB2312" w:hAnsi="宋体" w:hint="eastAsia"/>
          <w:bCs/>
          <w:sz w:val="32"/>
          <w:szCs w:val="32"/>
        </w:rPr>
        <w:t>3.执行异议之诉的审查原则</w:t>
      </w:r>
      <w:bookmarkEnd w:id="37"/>
      <w:bookmarkEnd w:id="38"/>
      <w:bookmarkEnd w:id="39"/>
      <w:bookmarkEnd w:id="40"/>
    </w:p>
    <w:p w:rsidR="006B7F21" w:rsidRPr="00065F52" w:rsidRDefault="006B7F21" w:rsidP="006B7F21">
      <w:pPr>
        <w:spacing w:line="560" w:lineRule="exact"/>
        <w:ind w:firstLine="645"/>
        <w:rPr>
          <w:rFonts w:ascii="仿宋_GB2312" w:eastAsia="仿宋_GB2312" w:hAnsi="宋体"/>
          <w:sz w:val="32"/>
          <w:szCs w:val="32"/>
        </w:rPr>
      </w:pPr>
      <w:r w:rsidRPr="00065F52">
        <w:rPr>
          <w:rFonts w:ascii="仿宋_GB2312" w:eastAsia="仿宋_GB2312" w:hAnsi="宋体" w:hint="eastAsia"/>
          <w:sz w:val="32"/>
          <w:szCs w:val="32"/>
        </w:rPr>
        <w:t>（1）实体审查原则</w:t>
      </w:r>
    </w:p>
    <w:p w:rsidR="006B7F21" w:rsidRPr="00065F52" w:rsidRDefault="006B7F21" w:rsidP="006B7F21">
      <w:pPr>
        <w:spacing w:line="560" w:lineRule="exact"/>
        <w:ind w:firstLine="645"/>
        <w:rPr>
          <w:rFonts w:ascii="仿宋_GB2312" w:eastAsia="仿宋_GB2312" w:hAnsi="宋体"/>
          <w:sz w:val="32"/>
          <w:szCs w:val="32"/>
        </w:rPr>
      </w:pPr>
      <w:r w:rsidRPr="00065F52">
        <w:rPr>
          <w:rFonts w:ascii="仿宋_GB2312" w:eastAsia="仿宋_GB2312" w:hAnsi="宋体" w:hint="eastAsia"/>
          <w:sz w:val="32"/>
          <w:szCs w:val="32"/>
        </w:rPr>
        <w:t>不同于执行异议程序的形式审查原则，执行异议之</w:t>
      </w:r>
      <w:proofErr w:type="gramStart"/>
      <w:r w:rsidRPr="00065F52">
        <w:rPr>
          <w:rFonts w:ascii="仿宋_GB2312" w:eastAsia="仿宋_GB2312" w:hAnsi="宋体" w:hint="eastAsia"/>
          <w:sz w:val="32"/>
          <w:szCs w:val="32"/>
        </w:rPr>
        <w:t>诉需要</w:t>
      </w:r>
      <w:proofErr w:type="gramEnd"/>
      <w:r w:rsidRPr="00065F52">
        <w:rPr>
          <w:rFonts w:ascii="仿宋_GB2312" w:eastAsia="仿宋_GB2312" w:hAnsi="宋体" w:hint="eastAsia"/>
          <w:sz w:val="32"/>
          <w:szCs w:val="32"/>
        </w:rPr>
        <w:t>对案外人主张排除执行的权利进行实体性审查。执行异议之诉中，案外人对于标的物的权属可以一并提出确认权属的诉讼请求，但即使案外人未提出确权的诉讼请求，在审查过</w:t>
      </w:r>
      <w:r w:rsidRPr="00065F52">
        <w:rPr>
          <w:rFonts w:ascii="仿宋_GB2312" w:eastAsia="仿宋_GB2312" w:hAnsi="宋体" w:hint="eastAsia"/>
          <w:sz w:val="32"/>
          <w:szCs w:val="32"/>
        </w:rPr>
        <w:lastRenderedPageBreak/>
        <w:t>程中，仍应当</w:t>
      </w:r>
      <w:proofErr w:type="gramStart"/>
      <w:r w:rsidRPr="00065F52">
        <w:rPr>
          <w:rFonts w:ascii="仿宋_GB2312" w:eastAsia="仿宋_GB2312" w:hAnsi="宋体" w:hint="eastAsia"/>
          <w:sz w:val="32"/>
          <w:szCs w:val="32"/>
        </w:rPr>
        <w:t>对于案</w:t>
      </w:r>
      <w:proofErr w:type="gramEnd"/>
      <w:r w:rsidRPr="00065F52">
        <w:rPr>
          <w:rFonts w:ascii="仿宋_GB2312" w:eastAsia="仿宋_GB2312" w:hAnsi="宋体" w:hint="eastAsia"/>
          <w:sz w:val="32"/>
          <w:szCs w:val="32"/>
        </w:rPr>
        <w:t>外人是否对标的物享有实体权利或者案外人是否达到了排除执行的实体权利标准进行审查，应充分</w:t>
      </w:r>
      <w:proofErr w:type="gramStart"/>
      <w:r w:rsidRPr="00065F52">
        <w:rPr>
          <w:rFonts w:ascii="仿宋_GB2312" w:eastAsia="仿宋_GB2312" w:hAnsi="宋体" w:hint="eastAsia"/>
          <w:sz w:val="32"/>
          <w:szCs w:val="32"/>
        </w:rPr>
        <w:t>给予案</w:t>
      </w:r>
      <w:proofErr w:type="gramEnd"/>
      <w:r w:rsidRPr="00065F52">
        <w:rPr>
          <w:rFonts w:ascii="仿宋_GB2312" w:eastAsia="仿宋_GB2312" w:hAnsi="宋体" w:hint="eastAsia"/>
          <w:sz w:val="32"/>
          <w:szCs w:val="32"/>
        </w:rPr>
        <w:t>外人举证的权利，并谨慎使用当事人自认原则，防止虚假诉讼。</w:t>
      </w:r>
    </w:p>
    <w:p w:rsidR="006B7F21" w:rsidRPr="00065F52" w:rsidRDefault="006B7F21" w:rsidP="006B7F21">
      <w:pPr>
        <w:spacing w:line="560" w:lineRule="exact"/>
        <w:ind w:firstLine="645"/>
        <w:rPr>
          <w:rFonts w:ascii="仿宋_GB2312" w:eastAsia="仿宋_GB2312" w:hAnsi="宋体"/>
          <w:sz w:val="32"/>
          <w:szCs w:val="32"/>
        </w:rPr>
      </w:pPr>
      <w:r w:rsidRPr="00065F52">
        <w:rPr>
          <w:rFonts w:ascii="仿宋_GB2312" w:eastAsia="仿宋_GB2312" w:hAnsi="宋体" w:hint="eastAsia"/>
          <w:sz w:val="32"/>
          <w:szCs w:val="32"/>
        </w:rPr>
        <w:t>（2）类型法定原则</w:t>
      </w:r>
    </w:p>
    <w:p w:rsidR="006B7F21" w:rsidRPr="00065F52" w:rsidRDefault="006B7F21" w:rsidP="006B7F21">
      <w:pPr>
        <w:spacing w:line="560" w:lineRule="exact"/>
        <w:ind w:firstLine="645"/>
        <w:rPr>
          <w:rFonts w:ascii="仿宋_GB2312" w:eastAsia="仿宋_GB2312" w:hAnsi="宋体"/>
          <w:sz w:val="32"/>
          <w:szCs w:val="32"/>
        </w:rPr>
      </w:pPr>
      <w:r w:rsidRPr="00065F52">
        <w:rPr>
          <w:rFonts w:ascii="仿宋_GB2312" w:eastAsia="仿宋_GB2312" w:hAnsi="宋体" w:hint="eastAsia"/>
          <w:sz w:val="32"/>
          <w:szCs w:val="32"/>
        </w:rPr>
        <w:t>根据民事诉讼法及司法解释等相关规定，案外人提出执行异议形成的诉讼包括申请执行人请求许可执行的执行异议之诉、案外人请求排除执行的执行异议之诉，还有因诉讼保全引发的执行异议之诉、追加被执行人引发的执行异议之诉及执行分配方案异议之诉。这些诉讼类型均有相应的法律作为依据。</w:t>
      </w:r>
    </w:p>
    <w:p w:rsidR="006B7F21" w:rsidRPr="00065F52" w:rsidRDefault="006B7F21" w:rsidP="006B7F21">
      <w:pPr>
        <w:spacing w:line="560" w:lineRule="exact"/>
        <w:ind w:firstLine="645"/>
        <w:rPr>
          <w:rFonts w:ascii="仿宋_GB2312" w:eastAsia="仿宋_GB2312" w:hAnsi="宋体"/>
          <w:sz w:val="32"/>
          <w:szCs w:val="32"/>
        </w:rPr>
      </w:pPr>
      <w:r w:rsidRPr="00065F52">
        <w:rPr>
          <w:rFonts w:ascii="仿宋_GB2312" w:eastAsia="仿宋_GB2312" w:hAnsi="宋体" w:hint="eastAsia"/>
          <w:sz w:val="32"/>
          <w:szCs w:val="32"/>
        </w:rPr>
        <w:t>（3）兼顾效率原则</w:t>
      </w:r>
    </w:p>
    <w:p w:rsidR="006B7F21" w:rsidRPr="00065F52" w:rsidRDefault="006B7F21" w:rsidP="006B7F21">
      <w:pPr>
        <w:spacing w:line="560" w:lineRule="exact"/>
        <w:ind w:firstLine="645"/>
        <w:rPr>
          <w:rFonts w:ascii="仿宋_GB2312" w:eastAsia="仿宋_GB2312" w:hAnsi="宋体"/>
          <w:sz w:val="32"/>
          <w:szCs w:val="32"/>
        </w:rPr>
      </w:pPr>
      <w:r w:rsidRPr="00065F52">
        <w:rPr>
          <w:rFonts w:ascii="仿宋_GB2312" w:eastAsia="仿宋_GB2312" w:hAnsi="宋体" w:hint="eastAsia"/>
          <w:sz w:val="32"/>
          <w:szCs w:val="32"/>
        </w:rPr>
        <w:t>执行异议之</w:t>
      </w:r>
      <w:proofErr w:type="gramStart"/>
      <w:r w:rsidRPr="00065F52">
        <w:rPr>
          <w:rFonts w:ascii="仿宋_GB2312" w:eastAsia="仿宋_GB2312" w:hAnsi="宋体" w:hint="eastAsia"/>
          <w:sz w:val="32"/>
          <w:szCs w:val="32"/>
        </w:rPr>
        <w:t>诉受案件</w:t>
      </w:r>
      <w:proofErr w:type="gramEnd"/>
      <w:r w:rsidRPr="00065F52">
        <w:rPr>
          <w:rFonts w:ascii="仿宋_GB2312" w:eastAsia="仿宋_GB2312" w:hAnsi="宋体" w:hint="eastAsia"/>
          <w:sz w:val="32"/>
          <w:szCs w:val="32"/>
        </w:rPr>
        <w:t>复杂程度的影响及一裁两审、被执行人</w:t>
      </w:r>
      <w:proofErr w:type="gramStart"/>
      <w:r w:rsidRPr="00065F52">
        <w:rPr>
          <w:rFonts w:ascii="仿宋_GB2312" w:eastAsia="仿宋_GB2312" w:hAnsi="宋体" w:hint="eastAsia"/>
          <w:sz w:val="32"/>
          <w:szCs w:val="32"/>
        </w:rPr>
        <w:t>不</w:t>
      </w:r>
      <w:proofErr w:type="gramEnd"/>
      <w:r w:rsidRPr="00065F52">
        <w:rPr>
          <w:rFonts w:ascii="仿宋_GB2312" w:eastAsia="仿宋_GB2312" w:hAnsi="宋体" w:hint="eastAsia"/>
          <w:sz w:val="32"/>
          <w:szCs w:val="32"/>
        </w:rPr>
        <w:t>到庭等程序因素的影响，往往审判周期较长，对此类案件的审判效率有重大影响，且会延伸影响执行效率。因此，在审理执行异议之诉案件过程中，一定要在实质审查的基础上兼顾审判效率，尽量避免诉讼周期过于冗长。</w:t>
      </w:r>
    </w:p>
    <w:p w:rsidR="006B7F21" w:rsidRPr="00065F52" w:rsidRDefault="006B7F21" w:rsidP="006B7F21">
      <w:pPr>
        <w:spacing w:line="560" w:lineRule="exact"/>
        <w:ind w:firstLine="645"/>
        <w:rPr>
          <w:rFonts w:ascii="仿宋_GB2312" w:eastAsia="仿宋_GB2312" w:hAnsi="宋体"/>
          <w:sz w:val="32"/>
          <w:szCs w:val="32"/>
        </w:rPr>
      </w:pPr>
    </w:p>
    <w:p w:rsidR="006B7F21" w:rsidRPr="00065F52" w:rsidRDefault="006B7F21" w:rsidP="006B7F21">
      <w:pPr>
        <w:spacing w:line="560" w:lineRule="exact"/>
        <w:jc w:val="center"/>
        <w:rPr>
          <w:rFonts w:ascii="仿宋_GB2312" w:eastAsia="仿宋_GB2312" w:hAnsi="宋体"/>
          <w:sz w:val="32"/>
          <w:szCs w:val="32"/>
        </w:rPr>
      </w:pPr>
    </w:p>
    <w:p w:rsidR="006B7F21" w:rsidRPr="00065F52" w:rsidRDefault="006B7F21" w:rsidP="006B7F21">
      <w:pPr>
        <w:spacing w:line="560" w:lineRule="exact"/>
        <w:jc w:val="center"/>
        <w:rPr>
          <w:rFonts w:ascii="仿宋_GB2312" w:eastAsia="仿宋_GB2312" w:hAnsi="宋体"/>
          <w:sz w:val="32"/>
          <w:szCs w:val="32"/>
        </w:rPr>
      </w:pPr>
    </w:p>
    <w:p w:rsidR="006B7F21" w:rsidRPr="00065F52" w:rsidRDefault="006B7F21" w:rsidP="006B7F21">
      <w:pPr>
        <w:spacing w:line="560" w:lineRule="exact"/>
        <w:jc w:val="center"/>
        <w:rPr>
          <w:rFonts w:ascii="仿宋_GB2312" w:eastAsia="仿宋_GB2312" w:hAnsi="宋体"/>
          <w:sz w:val="32"/>
          <w:szCs w:val="32"/>
        </w:rPr>
      </w:pPr>
    </w:p>
    <w:p w:rsidR="006B7F21" w:rsidRPr="00065F52" w:rsidRDefault="006B7F21" w:rsidP="006B7F21">
      <w:pPr>
        <w:spacing w:line="560" w:lineRule="exact"/>
        <w:jc w:val="center"/>
        <w:rPr>
          <w:rFonts w:ascii="仿宋_GB2312" w:eastAsia="仿宋_GB2312" w:hAnsi="宋体"/>
          <w:sz w:val="32"/>
          <w:szCs w:val="32"/>
        </w:rPr>
      </w:pPr>
    </w:p>
    <w:p w:rsidR="006B7F21" w:rsidRPr="00065F52" w:rsidRDefault="006B7F21" w:rsidP="006B7F21">
      <w:pPr>
        <w:spacing w:line="560" w:lineRule="exact"/>
        <w:jc w:val="center"/>
        <w:rPr>
          <w:rFonts w:ascii="仿宋_GB2312" w:eastAsia="仿宋_GB2312" w:hAnsi="宋体"/>
          <w:sz w:val="32"/>
          <w:szCs w:val="32"/>
        </w:rPr>
      </w:pPr>
    </w:p>
    <w:p w:rsidR="006B7F21" w:rsidRPr="00065F52" w:rsidRDefault="006B7F21" w:rsidP="006B7F21">
      <w:pPr>
        <w:spacing w:line="560" w:lineRule="exact"/>
        <w:jc w:val="center"/>
        <w:rPr>
          <w:rFonts w:ascii="仿宋_GB2312" w:eastAsia="仿宋_GB2312" w:hAnsi="宋体"/>
          <w:sz w:val="32"/>
          <w:szCs w:val="32"/>
        </w:rPr>
      </w:pPr>
    </w:p>
    <w:p w:rsidR="006B7F21" w:rsidRPr="00065F52" w:rsidRDefault="006B7F21" w:rsidP="00065F52">
      <w:pPr>
        <w:keepNext/>
        <w:keepLines/>
        <w:spacing w:line="578" w:lineRule="auto"/>
        <w:ind w:firstLineChars="200" w:firstLine="640"/>
        <w:outlineLvl w:val="0"/>
        <w:rPr>
          <w:rFonts w:ascii="黑体" w:eastAsia="黑体" w:hAnsi="黑体"/>
          <w:bCs/>
          <w:kern w:val="44"/>
          <w:sz w:val="32"/>
          <w:szCs w:val="32"/>
        </w:rPr>
      </w:pPr>
      <w:bookmarkStart w:id="41" w:name="_Toc36025651"/>
      <w:bookmarkStart w:id="42" w:name="_Toc36025675"/>
      <w:bookmarkStart w:id="43" w:name="_Toc36025837"/>
      <w:bookmarkStart w:id="44" w:name="_Toc36027083"/>
      <w:r w:rsidRPr="00065F52">
        <w:rPr>
          <w:rFonts w:ascii="黑体" w:eastAsia="黑体" w:hAnsi="黑体" w:hint="eastAsia"/>
          <w:bCs/>
          <w:kern w:val="44"/>
          <w:sz w:val="32"/>
          <w:szCs w:val="32"/>
        </w:rPr>
        <w:lastRenderedPageBreak/>
        <w:t>三、执行异议与执行异议之诉裁判概况</w:t>
      </w:r>
      <w:bookmarkEnd w:id="41"/>
      <w:bookmarkEnd w:id="42"/>
      <w:bookmarkEnd w:id="43"/>
      <w:bookmarkEnd w:id="44"/>
    </w:p>
    <w:p w:rsidR="006B7F21" w:rsidRPr="00065F52" w:rsidRDefault="006B7F21" w:rsidP="006B7F21">
      <w:pPr>
        <w:keepNext/>
        <w:keepLines/>
        <w:spacing w:line="416" w:lineRule="auto"/>
        <w:ind w:firstLineChars="200" w:firstLine="640"/>
        <w:outlineLvl w:val="1"/>
        <w:rPr>
          <w:rFonts w:ascii="楷体_GB2312" w:eastAsia="楷体_GB2312" w:hAnsi="宋体"/>
          <w:bCs/>
          <w:sz w:val="32"/>
          <w:szCs w:val="32"/>
        </w:rPr>
      </w:pPr>
      <w:bookmarkStart w:id="45" w:name="_Toc36025652"/>
      <w:bookmarkStart w:id="46" w:name="_Toc36025676"/>
      <w:bookmarkStart w:id="47" w:name="_Toc36025838"/>
      <w:bookmarkStart w:id="48" w:name="_Toc36027084"/>
      <w:r w:rsidRPr="00065F52">
        <w:rPr>
          <w:rFonts w:ascii="楷体_GB2312" w:eastAsia="楷体_GB2312" w:hAnsi="宋体" w:hint="eastAsia"/>
          <w:bCs/>
          <w:sz w:val="32"/>
          <w:szCs w:val="32"/>
        </w:rPr>
        <w:t>（一）执行异议与执行异议之诉的基本数据分析</w:t>
      </w:r>
      <w:bookmarkEnd w:id="45"/>
      <w:bookmarkEnd w:id="46"/>
      <w:bookmarkEnd w:id="47"/>
      <w:bookmarkEnd w:id="48"/>
    </w:p>
    <w:p w:rsidR="006B7F21" w:rsidRPr="00065F52" w:rsidRDefault="006B7F21" w:rsidP="006B7F21">
      <w:pPr>
        <w:keepNext/>
        <w:keepLines/>
        <w:spacing w:line="416" w:lineRule="auto"/>
        <w:ind w:firstLineChars="200" w:firstLine="640"/>
        <w:outlineLvl w:val="2"/>
        <w:rPr>
          <w:rFonts w:ascii="仿宋_GB2312" w:eastAsia="仿宋_GB2312" w:hAnsi="宋体"/>
          <w:bCs/>
          <w:sz w:val="32"/>
          <w:szCs w:val="32"/>
        </w:rPr>
      </w:pPr>
      <w:bookmarkStart w:id="49" w:name="_Toc36025653"/>
      <w:bookmarkStart w:id="50" w:name="_Toc36025677"/>
      <w:bookmarkStart w:id="51" w:name="_Toc36025839"/>
      <w:bookmarkStart w:id="52" w:name="_Toc36027085"/>
      <w:r w:rsidRPr="00065F52">
        <w:rPr>
          <w:rFonts w:ascii="仿宋_GB2312" w:eastAsia="仿宋_GB2312" w:hAnsi="宋体" w:hint="eastAsia"/>
          <w:bCs/>
          <w:sz w:val="32"/>
          <w:szCs w:val="32"/>
        </w:rPr>
        <w:t>1.案件受理情况</w:t>
      </w:r>
      <w:bookmarkEnd w:id="49"/>
      <w:bookmarkEnd w:id="50"/>
      <w:bookmarkEnd w:id="51"/>
      <w:bookmarkEnd w:id="52"/>
    </w:p>
    <w:p w:rsidR="006B7F21" w:rsidRPr="00065F52" w:rsidRDefault="006B7F21" w:rsidP="006B7F21">
      <w:pPr>
        <w:autoSpaceDE w:val="0"/>
        <w:autoSpaceDN w:val="0"/>
        <w:adjustRightInd w:val="0"/>
        <w:spacing w:line="560" w:lineRule="exact"/>
        <w:ind w:firstLineChars="200" w:firstLine="640"/>
        <w:rPr>
          <w:rFonts w:ascii="仿宋_GB2312" w:eastAsia="仿宋_GB2312" w:hAnsi="宋体" w:cs="仿宋"/>
          <w:color w:val="000000"/>
          <w:kern w:val="0"/>
          <w:sz w:val="32"/>
          <w:szCs w:val="32"/>
        </w:rPr>
      </w:pPr>
      <w:r w:rsidRPr="00065F52">
        <w:rPr>
          <w:rFonts w:ascii="仿宋_GB2312" w:eastAsia="仿宋_GB2312" w:hAnsi="宋体" w:cs="仿宋" w:hint="eastAsia"/>
          <w:color w:val="000000"/>
          <w:kern w:val="0"/>
          <w:sz w:val="32"/>
          <w:szCs w:val="32"/>
        </w:rPr>
        <w:t>2017年至2019年期间，青岛地区两级法院受理执行异议与执行异议之诉案件呈快速增长态势。</w:t>
      </w:r>
      <w:bookmarkStart w:id="53" w:name="_Hlk34765054"/>
      <w:r w:rsidRPr="00065F52">
        <w:rPr>
          <w:rFonts w:ascii="仿宋_GB2312" w:eastAsia="仿宋_GB2312" w:hAnsi="宋体" w:cs="仿宋" w:hint="eastAsia"/>
          <w:color w:val="000000"/>
          <w:kern w:val="0"/>
          <w:sz w:val="32"/>
          <w:szCs w:val="32"/>
        </w:rPr>
        <w:t>2017年全市两级法院受理执行异议之诉案件与执行异议案件数量分别为385件、501件，2018年为540件、805件，2019年为833件、1038件</w:t>
      </w:r>
      <w:bookmarkEnd w:id="53"/>
      <w:r w:rsidRPr="00065F52">
        <w:rPr>
          <w:rFonts w:ascii="仿宋_GB2312" w:eastAsia="仿宋_GB2312" w:hAnsi="宋体" w:cs="仿宋" w:hint="eastAsia"/>
          <w:color w:val="000000"/>
          <w:kern w:val="0"/>
          <w:sz w:val="32"/>
          <w:szCs w:val="32"/>
        </w:rPr>
        <w:t>，2018年、2019年增幅分别为51%、40%。</w:t>
      </w:r>
    </w:p>
    <w:p w:rsidR="006B7F21" w:rsidRPr="00065F52" w:rsidRDefault="006B7F21" w:rsidP="006B7F21">
      <w:pPr>
        <w:autoSpaceDE w:val="0"/>
        <w:autoSpaceDN w:val="0"/>
        <w:adjustRightInd w:val="0"/>
        <w:spacing w:line="560" w:lineRule="exact"/>
        <w:ind w:firstLineChars="200" w:firstLine="640"/>
        <w:rPr>
          <w:rFonts w:ascii="仿宋_GB2312" w:eastAsia="仿宋_GB2312" w:hAnsi="宋体" w:cs="华文仿宋"/>
          <w:color w:val="000000"/>
          <w:kern w:val="0"/>
          <w:sz w:val="32"/>
          <w:szCs w:val="32"/>
        </w:rPr>
      </w:pPr>
      <w:r w:rsidRPr="00065F52">
        <w:rPr>
          <w:rFonts w:ascii="仿宋_GB2312" w:eastAsia="仿宋_GB2312" w:hAnsi="宋体" w:cs="仿宋" w:hint="eastAsia"/>
          <w:color w:val="000000"/>
          <w:kern w:val="0"/>
          <w:sz w:val="32"/>
          <w:szCs w:val="32"/>
        </w:rPr>
        <w:t>对比2019年与2017年受理案件的数据，执行异议之诉案件</w:t>
      </w:r>
      <w:r w:rsidRPr="00065F52">
        <w:rPr>
          <w:rFonts w:ascii="仿宋_GB2312" w:eastAsia="仿宋_GB2312" w:hAnsi="宋体" w:cs="华文仿宋" w:hint="eastAsia"/>
          <w:color w:val="000000"/>
          <w:kern w:val="0"/>
          <w:sz w:val="32"/>
          <w:szCs w:val="32"/>
        </w:rPr>
        <w:t>增长了111%。而同期其他传统民商事案件的增长幅度，民间借贷类案件的增幅为70%，婚姻家庭类案件则减少了4%。</w:t>
      </w:r>
    </w:p>
    <w:p w:rsidR="006B7F21" w:rsidRPr="00065F52" w:rsidRDefault="006B7F21" w:rsidP="006B7F21">
      <w:pPr>
        <w:autoSpaceDE w:val="0"/>
        <w:autoSpaceDN w:val="0"/>
        <w:adjustRightInd w:val="0"/>
        <w:spacing w:line="560" w:lineRule="exact"/>
        <w:ind w:firstLineChars="200" w:firstLine="640"/>
        <w:rPr>
          <w:rFonts w:ascii="仿宋_GB2312" w:eastAsia="仿宋_GB2312" w:hAnsi="宋体" w:cs="仿宋"/>
          <w:color w:val="000000"/>
          <w:kern w:val="0"/>
          <w:sz w:val="32"/>
          <w:szCs w:val="32"/>
        </w:rPr>
      </w:pPr>
    </w:p>
    <w:p w:rsidR="006B7F21" w:rsidRPr="00065F52" w:rsidRDefault="006B7F21" w:rsidP="006B7F21">
      <w:pPr>
        <w:autoSpaceDE w:val="0"/>
        <w:autoSpaceDN w:val="0"/>
        <w:adjustRightInd w:val="0"/>
        <w:spacing w:line="560" w:lineRule="exact"/>
        <w:ind w:firstLineChars="200" w:firstLine="640"/>
        <w:rPr>
          <w:rFonts w:ascii="仿宋_GB2312" w:eastAsia="仿宋_GB2312" w:hAnsi="宋体" w:cs="仿宋"/>
          <w:color w:val="000000"/>
          <w:kern w:val="0"/>
          <w:sz w:val="32"/>
          <w:szCs w:val="32"/>
        </w:rPr>
      </w:pPr>
      <w:r w:rsidRPr="00065F52">
        <w:rPr>
          <w:rFonts w:ascii="仿宋_GB2312" w:eastAsia="仿宋_GB2312" w:hAnsi="宋体" w:cs="仿宋" w:hint="eastAsia"/>
          <w:noProof/>
          <w:color w:val="000000"/>
          <w:kern w:val="0"/>
          <w:sz w:val="32"/>
          <w:szCs w:val="32"/>
        </w:rPr>
        <w:drawing>
          <wp:anchor distT="0" distB="0" distL="114300" distR="114300" simplePos="0" relativeHeight="251652096" behindDoc="0" locked="0" layoutInCell="1" allowOverlap="1">
            <wp:simplePos x="0" y="0"/>
            <wp:positionH relativeFrom="margin">
              <wp:posOffset>661670</wp:posOffset>
            </wp:positionH>
            <wp:positionV relativeFrom="paragraph">
              <wp:posOffset>5715</wp:posOffset>
            </wp:positionV>
            <wp:extent cx="4657725" cy="3486150"/>
            <wp:effectExtent l="19050" t="0" r="9525" b="0"/>
            <wp:wrapNone/>
            <wp:docPr id="57" name="图表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6B7F21" w:rsidRPr="00065F52" w:rsidRDefault="006B7F21" w:rsidP="006B7F21">
      <w:pPr>
        <w:autoSpaceDE w:val="0"/>
        <w:autoSpaceDN w:val="0"/>
        <w:adjustRightInd w:val="0"/>
        <w:spacing w:line="560" w:lineRule="exact"/>
        <w:ind w:firstLineChars="200" w:firstLine="640"/>
        <w:rPr>
          <w:rFonts w:ascii="仿宋_GB2312" w:eastAsia="仿宋_GB2312" w:hAnsi="宋体" w:cs="仿宋"/>
          <w:color w:val="000000"/>
          <w:kern w:val="0"/>
          <w:sz w:val="32"/>
          <w:szCs w:val="32"/>
        </w:rPr>
      </w:pPr>
    </w:p>
    <w:p w:rsidR="006B7F21" w:rsidRPr="00065F52" w:rsidRDefault="006B7F21" w:rsidP="006B7F21">
      <w:pPr>
        <w:autoSpaceDE w:val="0"/>
        <w:autoSpaceDN w:val="0"/>
        <w:adjustRightInd w:val="0"/>
        <w:spacing w:line="560" w:lineRule="exact"/>
        <w:ind w:firstLineChars="200" w:firstLine="640"/>
        <w:rPr>
          <w:rFonts w:ascii="仿宋_GB2312" w:eastAsia="仿宋_GB2312" w:hAnsi="宋体" w:cs="仿宋"/>
          <w:color w:val="000000"/>
          <w:kern w:val="0"/>
          <w:sz w:val="32"/>
          <w:szCs w:val="32"/>
        </w:rPr>
      </w:pPr>
    </w:p>
    <w:p w:rsidR="006B7F21" w:rsidRPr="00065F52" w:rsidRDefault="006B7F21" w:rsidP="006B7F21">
      <w:pPr>
        <w:autoSpaceDE w:val="0"/>
        <w:autoSpaceDN w:val="0"/>
        <w:adjustRightInd w:val="0"/>
        <w:spacing w:line="560" w:lineRule="exact"/>
        <w:ind w:firstLineChars="200" w:firstLine="640"/>
        <w:rPr>
          <w:rFonts w:ascii="仿宋_GB2312" w:eastAsia="仿宋_GB2312" w:hAnsi="宋体" w:cs="仿宋"/>
          <w:color w:val="000000"/>
          <w:kern w:val="0"/>
          <w:sz w:val="32"/>
          <w:szCs w:val="32"/>
        </w:rPr>
      </w:pPr>
    </w:p>
    <w:p w:rsidR="006B7F21" w:rsidRPr="00065F52" w:rsidRDefault="006B7F21" w:rsidP="006B7F21">
      <w:pPr>
        <w:autoSpaceDE w:val="0"/>
        <w:autoSpaceDN w:val="0"/>
        <w:adjustRightInd w:val="0"/>
        <w:spacing w:line="560" w:lineRule="exact"/>
        <w:ind w:firstLineChars="200" w:firstLine="640"/>
        <w:rPr>
          <w:rFonts w:ascii="仿宋_GB2312" w:eastAsia="仿宋_GB2312" w:hAnsi="宋体" w:cs="仿宋"/>
          <w:color w:val="000000"/>
          <w:kern w:val="0"/>
          <w:sz w:val="32"/>
          <w:szCs w:val="32"/>
        </w:rPr>
      </w:pPr>
    </w:p>
    <w:p w:rsidR="006B7F21" w:rsidRPr="00065F52" w:rsidRDefault="006B7F21" w:rsidP="006B7F21">
      <w:pPr>
        <w:autoSpaceDE w:val="0"/>
        <w:autoSpaceDN w:val="0"/>
        <w:adjustRightInd w:val="0"/>
        <w:spacing w:line="560" w:lineRule="exact"/>
        <w:ind w:firstLineChars="200" w:firstLine="640"/>
        <w:rPr>
          <w:rFonts w:ascii="仿宋_GB2312" w:eastAsia="仿宋_GB2312" w:hAnsi="宋体" w:cs="仿宋"/>
          <w:color w:val="000000"/>
          <w:kern w:val="0"/>
          <w:sz w:val="32"/>
          <w:szCs w:val="32"/>
        </w:rPr>
      </w:pPr>
    </w:p>
    <w:p w:rsidR="006B7F21" w:rsidRPr="00065F52" w:rsidRDefault="006B7F21" w:rsidP="006B7F21">
      <w:pPr>
        <w:autoSpaceDE w:val="0"/>
        <w:autoSpaceDN w:val="0"/>
        <w:adjustRightInd w:val="0"/>
        <w:spacing w:line="560" w:lineRule="exact"/>
        <w:ind w:firstLineChars="200" w:firstLine="640"/>
        <w:rPr>
          <w:rFonts w:ascii="仿宋_GB2312" w:eastAsia="仿宋_GB2312" w:hAnsi="宋体" w:cs="仿宋"/>
          <w:color w:val="000000"/>
          <w:kern w:val="0"/>
          <w:sz w:val="32"/>
          <w:szCs w:val="32"/>
        </w:rPr>
      </w:pPr>
    </w:p>
    <w:p w:rsidR="006B7F21" w:rsidRPr="00065F52" w:rsidRDefault="006B7F21" w:rsidP="006B7F21">
      <w:pPr>
        <w:autoSpaceDE w:val="0"/>
        <w:autoSpaceDN w:val="0"/>
        <w:adjustRightInd w:val="0"/>
        <w:spacing w:line="560" w:lineRule="exact"/>
        <w:ind w:firstLineChars="200" w:firstLine="640"/>
        <w:rPr>
          <w:rFonts w:ascii="仿宋_GB2312" w:eastAsia="仿宋_GB2312" w:hAnsi="宋体" w:cs="仿宋"/>
          <w:color w:val="000000"/>
          <w:kern w:val="0"/>
          <w:sz w:val="32"/>
          <w:szCs w:val="32"/>
        </w:rPr>
      </w:pPr>
    </w:p>
    <w:p w:rsidR="006B7F21" w:rsidRPr="00065F52" w:rsidRDefault="006B7F21" w:rsidP="006B7F21">
      <w:pPr>
        <w:autoSpaceDE w:val="0"/>
        <w:autoSpaceDN w:val="0"/>
        <w:adjustRightInd w:val="0"/>
        <w:spacing w:line="560" w:lineRule="exact"/>
        <w:ind w:firstLineChars="200" w:firstLine="640"/>
        <w:rPr>
          <w:rFonts w:ascii="仿宋_GB2312" w:eastAsia="仿宋_GB2312" w:hAnsi="宋体" w:cs="仿宋"/>
          <w:color w:val="000000"/>
          <w:kern w:val="0"/>
          <w:sz w:val="32"/>
          <w:szCs w:val="32"/>
        </w:rPr>
      </w:pPr>
    </w:p>
    <w:p w:rsidR="006B7F21" w:rsidRPr="00065F52" w:rsidRDefault="006B7F21" w:rsidP="006B7F21">
      <w:pPr>
        <w:spacing w:line="560" w:lineRule="exact"/>
        <w:ind w:firstLineChars="200" w:firstLine="640"/>
        <w:rPr>
          <w:rFonts w:ascii="仿宋_GB2312" w:eastAsia="仿宋_GB2312" w:hAnsi="宋体"/>
          <w:sz w:val="32"/>
          <w:szCs w:val="32"/>
        </w:rPr>
      </w:pPr>
      <w:r w:rsidRPr="00065F52">
        <w:rPr>
          <w:rFonts w:ascii="仿宋_GB2312" w:eastAsia="仿宋_GB2312" w:hAnsi="宋体" w:hint="eastAsia"/>
          <w:noProof/>
          <w:sz w:val="32"/>
          <w:szCs w:val="32"/>
        </w:rPr>
        <w:lastRenderedPageBreak/>
        <w:drawing>
          <wp:anchor distT="0" distB="0" distL="114300" distR="114300" simplePos="0" relativeHeight="251654144" behindDoc="1" locked="0" layoutInCell="1" allowOverlap="1">
            <wp:simplePos x="0" y="0"/>
            <wp:positionH relativeFrom="margin">
              <wp:posOffset>585470</wp:posOffset>
            </wp:positionH>
            <wp:positionV relativeFrom="paragraph">
              <wp:posOffset>128905</wp:posOffset>
            </wp:positionV>
            <wp:extent cx="4724400" cy="3019425"/>
            <wp:effectExtent l="0" t="0" r="0" b="9525"/>
            <wp:wrapTopAndBottom/>
            <wp:docPr id="58" name="图表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6B7F21" w:rsidRPr="00065F52" w:rsidRDefault="006B7F21" w:rsidP="006B7F21">
      <w:pPr>
        <w:keepNext/>
        <w:keepLines/>
        <w:spacing w:line="416" w:lineRule="auto"/>
        <w:ind w:firstLineChars="200" w:firstLine="640"/>
        <w:outlineLvl w:val="2"/>
        <w:rPr>
          <w:rFonts w:ascii="仿宋_GB2312" w:eastAsia="仿宋_GB2312" w:hAnsi="宋体"/>
          <w:bCs/>
          <w:sz w:val="32"/>
          <w:szCs w:val="32"/>
        </w:rPr>
      </w:pPr>
      <w:bookmarkStart w:id="54" w:name="_Toc36025654"/>
      <w:bookmarkStart w:id="55" w:name="_Toc36025678"/>
      <w:bookmarkStart w:id="56" w:name="_Toc36025840"/>
      <w:bookmarkStart w:id="57" w:name="_Toc36027086"/>
      <w:r w:rsidRPr="00065F52">
        <w:rPr>
          <w:rFonts w:ascii="仿宋_GB2312" w:eastAsia="仿宋_GB2312" w:hAnsi="宋体" w:hint="eastAsia"/>
          <w:bCs/>
          <w:sz w:val="32"/>
          <w:szCs w:val="32"/>
        </w:rPr>
        <w:t>2.案件审结情况</w:t>
      </w:r>
      <w:bookmarkEnd w:id="54"/>
      <w:bookmarkEnd w:id="55"/>
      <w:bookmarkEnd w:id="56"/>
      <w:bookmarkEnd w:id="57"/>
    </w:p>
    <w:p w:rsidR="006B7F21" w:rsidRPr="00065F52" w:rsidRDefault="006B7F21" w:rsidP="006B7F21">
      <w:pPr>
        <w:spacing w:line="560" w:lineRule="exact"/>
        <w:ind w:firstLineChars="200" w:firstLine="640"/>
        <w:rPr>
          <w:rFonts w:ascii="仿宋_GB2312" w:eastAsia="仿宋_GB2312" w:hAnsi="宋体"/>
          <w:sz w:val="32"/>
          <w:szCs w:val="32"/>
        </w:rPr>
      </w:pPr>
      <w:r w:rsidRPr="00065F52">
        <w:rPr>
          <w:rFonts w:ascii="仿宋_GB2312" w:eastAsia="仿宋_GB2312" w:hAnsi="宋体" w:cs="仿宋" w:hint="eastAsia"/>
          <w:sz w:val="32"/>
          <w:szCs w:val="32"/>
        </w:rPr>
        <w:t>2017年全市两级法院审结执行异议之诉案件及执行审查程序实体异议案件数量分别为365件、501件，2018年为502件、805件，2019年为799件、1038件，总收结比分别为95%、93%、96%。</w:t>
      </w:r>
    </w:p>
    <w:p w:rsidR="006B7F21" w:rsidRPr="00065F52" w:rsidRDefault="006B7F21" w:rsidP="006B7F21">
      <w:pPr>
        <w:spacing w:line="560" w:lineRule="exact"/>
        <w:ind w:firstLineChars="200" w:firstLine="640"/>
        <w:rPr>
          <w:rFonts w:ascii="仿宋_GB2312" w:eastAsia="仿宋_GB2312" w:hAnsi="宋体"/>
          <w:sz w:val="32"/>
          <w:szCs w:val="32"/>
        </w:rPr>
      </w:pPr>
    </w:p>
    <w:p w:rsidR="006B7F21" w:rsidRPr="00065F52" w:rsidRDefault="006B7F21" w:rsidP="006B7F21">
      <w:pPr>
        <w:spacing w:line="560" w:lineRule="exact"/>
        <w:ind w:firstLineChars="200" w:firstLine="640"/>
        <w:rPr>
          <w:rFonts w:ascii="仿宋_GB2312" w:eastAsia="仿宋_GB2312" w:hAnsi="宋体"/>
          <w:sz w:val="32"/>
          <w:szCs w:val="32"/>
        </w:rPr>
      </w:pPr>
      <w:r w:rsidRPr="00065F52">
        <w:rPr>
          <w:rFonts w:ascii="仿宋_GB2312" w:eastAsia="仿宋_GB2312" w:hAnsi="宋体" w:cs="仿宋" w:hint="eastAsia"/>
          <w:noProof/>
          <w:sz w:val="32"/>
          <w:szCs w:val="32"/>
        </w:rPr>
        <w:drawing>
          <wp:anchor distT="0" distB="0" distL="114300" distR="114300" simplePos="0" relativeHeight="251662336" behindDoc="0" locked="0" layoutInCell="1" allowOverlap="1">
            <wp:simplePos x="0" y="0"/>
            <wp:positionH relativeFrom="margin">
              <wp:align>center</wp:align>
            </wp:positionH>
            <wp:positionV relativeFrom="paragraph">
              <wp:posOffset>76200</wp:posOffset>
            </wp:positionV>
            <wp:extent cx="4724400" cy="3267075"/>
            <wp:effectExtent l="0" t="0" r="0" b="9525"/>
            <wp:wrapNone/>
            <wp:docPr id="61" name="图表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6B7F21" w:rsidRPr="00065F52" w:rsidRDefault="006B7F21" w:rsidP="006B7F21">
      <w:pPr>
        <w:spacing w:line="560" w:lineRule="exact"/>
        <w:ind w:firstLineChars="200" w:firstLine="640"/>
        <w:rPr>
          <w:rFonts w:ascii="仿宋_GB2312" w:eastAsia="仿宋_GB2312" w:hAnsi="宋体"/>
          <w:sz w:val="32"/>
          <w:szCs w:val="32"/>
        </w:rPr>
      </w:pPr>
    </w:p>
    <w:p w:rsidR="006B7F21" w:rsidRPr="00065F52" w:rsidRDefault="006B7F21" w:rsidP="006B7F21">
      <w:pPr>
        <w:spacing w:line="560" w:lineRule="exact"/>
        <w:ind w:firstLineChars="200" w:firstLine="640"/>
        <w:rPr>
          <w:rFonts w:ascii="仿宋_GB2312" w:eastAsia="仿宋_GB2312" w:hAnsi="宋体"/>
          <w:sz w:val="32"/>
          <w:szCs w:val="32"/>
        </w:rPr>
      </w:pPr>
    </w:p>
    <w:p w:rsidR="006B7F21" w:rsidRPr="00065F52" w:rsidRDefault="006B7F21" w:rsidP="006B7F21">
      <w:pPr>
        <w:spacing w:line="560" w:lineRule="exact"/>
        <w:ind w:firstLineChars="200" w:firstLine="640"/>
        <w:rPr>
          <w:rFonts w:ascii="仿宋_GB2312" w:eastAsia="仿宋_GB2312" w:hAnsi="宋体"/>
          <w:sz w:val="32"/>
          <w:szCs w:val="32"/>
        </w:rPr>
      </w:pPr>
    </w:p>
    <w:p w:rsidR="006B7F21" w:rsidRPr="00065F52" w:rsidRDefault="006B7F21" w:rsidP="006B7F21">
      <w:pPr>
        <w:spacing w:line="560" w:lineRule="exact"/>
        <w:ind w:firstLineChars="200" w:firstLine="640"/>
        <w:rPr>
          <w:rFonts w:ascii="仿宋_GB2312" w:eastAsia="仿宋_GB2312" w:hAnsi="宋体"/>
          <w:sz w:val="32"/>
          <w:szCs w:val="32"/>
        </w:rPr>
      </w:pPr>
    </w:p>
    <w:p w:rsidR="006B7F21" w:rsidRPr="00065F52" w:rsidRDefault="006B7F21" w:rsidP="006B7F21">
      <w:pPr>
        <w:spacing w:line="560" w:lineRule="exact"/>
        <w:ind w:firstLineChars="200" w:firstLine="640"/>
        <w:rPr>
          <w:rFonts w:ascii="仿宋_GB2312" w:eastAsia="仿宋_GB2312" w:hAnsi="宋体"/>
          <w:sz w:val="32"/>
          <w:szCs w:val="32"/>
        </w:rPr>
      </w:pPr>
    </w:p>
    <w:p w:rsidR="006B7F21" w:rsidRPr="00065F52" w:rsidRDefault="006B7F21" w:rsidP="006B7F21">
      <w:pPr>
        <w:spacing w:line="560" w:lineRule="exact"/>
        <w:ind w:firstLineChars="200" w:firstLine="640"/>
        <w:rPr>
          <w:rFonts w:ascii="仿宋_GB2312" w:eastAsia="仿宋_GB2312" w:hAnsi="宋体"/>
          <w:sz w:val="32"/>
          <w:szCs w:val="32"/>
        </w:rPr>
      </w:pPr>
    </w:p>
    <w:p w:rsidR="006B7F21" w:rsidRPr="00065F52" w:rsidRDefault="006B7F21" w:rsidP="006B7F21">
      <w:pPr>
        <w:spacing w:line="560" w:lineRule="exact"/>
        <w:ind w:firstLineChars="200" w:firstLine="640"/>
        <w:rPr>
          <w:rFonts w:ascii="仿宋_GB2312" w:eastAsia="仿宋_GB2312" w:hAnsi="宋体"/>
          <w:sz w:val="32"/>
          <w:szCs w:val="32"/>
        </w:rPr>
      </w:pPr>
    </w:p>
    <w:p w:rsidR="006B7F21" w:rsidRPr="00065F52" w:rsidRDefault="006B7F21" w:rsidP="006B7F21">
      <w:pPr>
        <w:keepNext/>
        <w:keepLines/>
        <w:spacing w:line="416" w:lineRule="auto"/>
        <w:ind w:firstLineChars="200" w:firstLine="640"/>
        <w:outlineLvl w:val="2"/>
        <w:rPr>
          <w:rFonts w:ascii="仿宋_GB2312" w:eastAsia="仿宋_GB2312" w:hAnsi="宋体"/>
          <w:bCs/>
          <w:sz w:val="32"/>
          <w:szCs w:val="32"/>
        </w:rPr>
      </w:pPr>
      <w:bookmarkStart w:id="58" w:name="_Toc36025655"/>
      <w:bookmarkStart w:id="59" w:name="_Toc36025679"/>
      <w:bookmarkStart w:id="60" w:name="_Toc36025841"/>
      <w:bookmarkStart w:id="61" w:name="_Toc36027087"/>
      <w:r w:rsidRPr="00065F52">
        <w:rPr>
          <w:rFonts w:ascii="仿宋_GB2312" w:eastAsia="仿宋_GB2312" w:hAnsi="宋体" w:hint="eastAsia"/>
          <w:bCs/>
          <w:sz w:val="32"/>
          <w:szCs w:val="32"/>
        </w:rPr>
        <w:lastRenderedPageBreak/>
        <w:t>3.审判周期情况</w:t>
      </w:r>
      <w:bookmarkEnd w:id="58"/>
      <w:bookmarkEnd w:id="59"/>
      <w:bookmarkEnd w:id="60"/>
      <w:bookmarkEnd w:id="61"/>
    </w:p>
    <w:p w:rsidR="006B7F21" w:rsidRPr="003B4B7B" w:rsidRDefault="006B7F21" w:rsidP="006B7F21">
      <w:pPr>
        <w:spacing w:line="560" w:lineRule="exact"/>
        <w:ind w:firstLineChars="200" w:firstLine="640"/>
        <w:rPr>
          <w:rFonts w:ascii="仿宋_GB2312" w:eastAsia="仿宋_GB2312" w:hAnsi="宋体"/>
          <w:sz w:val="32"/>
          <w:szCs w:val="32"/>
        </w:rPr>
      </w:pPr>
      <w:r w:rsidRPr="00065F52">
        <w:rPr>
          <w:rFonts w:ascii="仿宋_GB2312" w:eastAsia="仿宋_GB2312" w:hAnsi="宋体" w:hint="eastAsia"/>
          <w:sz w:val="32"/>
          <w:szCs w:val="32"/>
        </w:rPr>
        <w:t>根据审判管理部门提供的数据，青岛两级法院审理执行异议之诉案件的平均审判周期</w:t>
      </w:r>
      <w:r w:rsidR="005F1B1C">
        <w:rPr>
          <w:rFonts w:ascii="仿宋_GB2312" w:eastAsia="仿宋_GB2312" w:hAnsi="宋体" w:hint="eastAsia"/>
          <w:sz w:val="32"/>
          <w:szCs w:val="32"/>
        </w:rPr>
        <w:t>为</w:t>
      </w:r>
      <w:r w:rsidRPr="00065F52">
        <w:rPr>
          <w:rFonts w:ascii="仿宋_GB2312" w:eastAsia="仿宋_GB2312" w:hAnsi="宋体" w:hint="eastAsia"/>
          <w:sz w:val="32"/>
          <w:szCs w:val="32"/>
        </w:rPr>
        <w:t>207天，传统民商事案件的平均审判周期为121天。执行异议之诉案件的审判周期是传统民商事案件近两倍时间。</w:t>
      </w:r>
    </w:p>
    <w:p w:rsidR="006B7F21" w:rsidRPr="00065F52" w:rsidRDefault="006B7F21" w:rsidP="006B7F21">
      <w:pPr>
        <w:spacing w:line="560" w:lineRule="exact"/>
        <w:ind w:firstLineChars="200" w:firstLine="640"/>
        <w:rPr>
          <w:rFonts w:ascii="仿宋_GB2312" w:eastAsia="仿宋_GB2312" w:hAnsi="宋体"/>
          <w:sz w:val="32"/>
          <w:szCs w:val="32"/>
        </w:rPr>
      </w:pPr>
      <w:r w:rsidRPr="00065F52">
        <w:rPr>
          <w:rFonts w:ascii="仿宋_GB2312" w:eastAsia="仿宋_GB2312" w:hAnsi="宋体" w:hint="eastAsia"/>
          <w:noProof/>
          <w:sz w:val="32"/>
          <w:szCs w:val="32"/>
        </w:rPr>
        <w:drawing>
          <wp:anchor distT="0" distB="0" distL="114300" distR="114300" simplePos="0" relativeHeight="251656192" behindDoc="0" locked="0" layoutInCell="1" allowOverlap="1">
            <wp:simplePos x="0" y="0"/>
            <wp:positionH relativeFrom="margin">
              <wp:posOffset>575945</wp:posOffset>
            </wp:positionH>
            <wp:positionV relativeFrom="paragraph">
              <wp:posOffset>522605</wp:posOffset>
            </wp:positionV>
            <wp:extent cx="4619625" cy="3438525"/>
            <wp:effectExtent l="0" t="0" r="9525" b="9525"/>
            <wp:wrapTopAndBottom/>
            <wp:docPr id="62" name="图表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6B7F21" w:rsidRPr="00065F52" w:rsidRDefault="006B7F21" w:rsidP="006B7F21">
      <w:pPr>
        <w:spacing w:line="560" w:lineRule="exact"/>
        <w:ind w:firstLineChars="200" w:firstLine="640"/>
        <w:rPr>
          <w:rFonts w:ascii="仿宋_GB2312" w:eastAsia="仿宋_GB2312" w:hAnsi="宋体"/>
          <w:sz w:val="32"/>
          <w:szCs w:val="32"/>
        </w:rPr>
      </w:pPr>
    </w:p>
    <w:p w:rsidR="006B7F21" w:rsidRPr="00065F52" w:rsidRDefault="006B7F21" w:rsidP="006B7F21">
      <w:pPr>
        <w:keepNext/>
        <w:keepLines/>
        <w:spacing w:line="416" w:lineRule="auto"/>
        <w:ind w:firstLineChars="200" w:firstLine="640"/>
        <w:outlineLvl w:val="2"/>
        <w:rPr>
          <w:rFonts w:ascii="仿宋_GB2312" w:eastAsia="仿宋_GB2312" w:hAnsi="宋体"/>
          <w:bCs/>
          <w:sz w:val="32"/>
          <w:szCs w:val="32"/>
        </w:rPr>
      </w:pPr>
      <w:bookmarkStart w:id="62" w:name="_Toc36025656"/>
      <w:bookmarkStart w:id="63" w:name="_Toc36025680"/>
      <w:bookmarkStart w:id="64" w:name="_Toc36025842"/>
      <w:bookmarkStart w:id="65" w:name="_Toc36027088"/>
      <w:r w:rsidRPr="00065F52">
        <w:rPr>
          <w:rFonts w:ascii="仿宋_GB2312" w:eastAsia="仿宋_GB2312" w:hAnsi="宋体" w:hint="eastAsia"/>
          <w:bCs/>
          <w:sz w:val="32"/>
          <w:szCs w:val="32"/>
        </w:rPr>
        <w:t>4.诉讼标的分布情况</w:t>
      </w:r>
      <w:bookmarkEnd w:id="62"/>
      <w:bookmarkEnd w:id="63"/>
      <w:bookmarkEnd w:id="64"/>
      <w:bookmarkEnd w:id="65"/>
    </w:p>
    <w:p w:rsidR="006B7F21" w:rsidRPr="00065F52" w:rsidRDefault="006B7F21" w:rsidP="006B7F21">
      <w:pPr>
        <w:spacing w:line="560" w:lineRule="exact"/>
        <w:ind w:firstLineChars="200" w:firstLine="640"/>
        <w:rPr>
          <w:rFonts w:ascii="仿宋_GB2312" w:eastAsia="仿宋_GB2312" w:hAnsi="宋体"/>
          <w:sz w:val="32"/>
          <w:szCs w:val="32"/>
        </w:rPr>
      </w:pPr>
      <w:r w:rsidRPr="00065F52">
        <w:rPr>
          <w:rFonts w:ascii="仿宋_GB2312" w:eastAsia="仿宋_GB2312" w:hAnsi="宋体" w:hint="eastAsia"/>
          <w:sz w:val="32"/>
          <w:szCs w:val="32"/>
        </w:rPr>
        <w:t>由于被采取执行措施的财产具有多样性，因此，执行异议与执行异议</w:t>
      </w:r>
      <w:proofErr w:type="gramStart"/>
      <w:r w:rsidRPr="00065F52">
        <w:rPr>
          <w:rFonts w:ascii="仿宋_GB2312" w:eastAsia="仿宋_GB2312" w:hAnsi="宋体" w:hint="eastAsia"/>
          <w:sz w:val="32"/>
          <w:szCs w:val="32"/>
        </w:rPr>
        <w:t>之诉所涉及</w:t>
      </w:r>
      <w:proofErr w:type="gramEnd"/>
      <w:r w:rsidRPr="00065F52">
        <w:rPr>
          <w:rFonts w:ascii="仿宋_GB2312" w:eastAsia="仿宋_GB2312" w:hAnsi="宋体" w:hint="eastAsia"/>
          <w:sz w:val="32"/>
          <w:szCs w:val="32"/>
        </w:rPr>
        <w:t>的诉讼标的也极为繁多，但常见的诉讼标的仍以不动产为主要标的物。根据近三年的案件样本清单，执行异议之诉中诉讼标的为房屋、土地等不动产的比例达到52%，其他动产类或权利类对抗执行的，以租赁权较多，达到12%。</w:t>
      </w:r>
    </w:p>
    <w:p w:rsidR="006B7F21" w:rsidRPr="00065F52" w:rsidRDefault="006B7F21" w:rsidP="006B7F21">
      <w:pPr>
        <w:spacing w:line="560" w:lineRule="exact"/>
        <w:ind w:firstLineChars="200" w:firstLine="640"/>
        <w:rPr>
          <w:rFonts w:ascii="仿宋_GB2312" w:eastAsia="仿宋_GB2312" w:hAnsi="宋体"/>
          <w:sz w:val="32"/>
          <w:szCs w:val="32"/>
        </w:rPr>
      </w:pPr>
    </w:p>
    <w:p w:rsidR="006B7F21" w:rsidRPr="00065F52" w:rsidRDefault="006B7F21" w:rsidP="006B7F21">
      <w:pPr>
        <w:spacing w:line="560" w:lineRule="exact"/>
        <w:ind w:firstLineChars="200" w:firstLine="640"/>
        <w:rPr>
          <w:rFonts w:ascii="仿宋_GB2312" w:eastAsia="仿宋_GB2312" w:hAnsi="宋体"/>
          <w:sz w:val="32"/>
          <w:szCs w:val="32"/>
        </w:rPr>
      </w:pPr>
      <w:r w:rsidRPr="00065F52">
        <w:rPr>
          <w:rFonts w:ascii="仿宋_GB2312" w:eastAsia="仿宋_GB2312" w:hAnsi="宋体" w:hint="eastAsia"/>
          <w:noProof/>
          <w:sz w:val="32"/>
          <w:szCs w:val="32"/>
        </w:rPr>
        <w:drawing>
          <wp:anchor distT="0" distB="0" distL="114300" distR="114300" simplePos="0" relativeHeight="251658240" behindDoc="0" locked="0" layoutInCell="1" allowOverlap="1">
            <wp:simplePos x="0" y="0"/>
            <wp:positionH relativeFrom="margin">
              <wp:align>center</wp:align>
            </wp:positionH>
            <wp:positionV relativeFrom="paragraph">
              <wp:posOffset>495300</wp:posOffset>
            </wp:positionV>
            <wp:extent cx="4667250" cy="3286125"/>
            <wp:effectExtent l="0" t="0" r="0" b="9525"/>
            <wp:wrapTopAndBottom/>
            <wp:docPr id="63" name="图表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6B7F21" w:rsidRPr="00065F52" w:rsidRDefault="006B7F21" w:rsidP="006B7F21">
      <w:pPr>
        <w:spacing w:line="560" w:lineRule="exact"/>
        <w:ind w:firstLineChars="200" w:firstLine="640"/>
        <w:rPr>
          <w:rFonts w:ascii="仿宋_GB2312" w:eastAsia="仿宋_GB2312" w:hAnsi="宋体"/>
          <w:sz w:val="32"/>
          <w:szCs w:val="32"/>
        </w:rPr>
      </w:pPr>
    </w:p>
    <w:p w:rsidR="006B7F21" w:rsidRPr="00065F52" w:rsidRDefault="006B7F21" w:rsidP="006B7F21">
      <w:pPr>
        <w:keepNext/>
        <w:keepLines/>
        <w:spacing w:line="416" w:lineRule="auto"/>
        <w:ind w:firstLineChars="200" w:firstLine="640"/>
        <w:outlineLvl w:val="2"/>
        <w:rPr>
          <w:rFonts w:ascii="仿宋_GB2312" w:eastAsia="仿宋_GB2312" w:hAnsi="宋体"/>
          <w:bCs/>
          <w:sz w:val="32"/>
          <w:szCs w:val="32"/>
        </w:rPr>
      </w:pPr>
      <w:bookmarkStart w:id="66" w:name="_Toc36025657"/>
      <w:bookmarkStart w:id="67" w:name="_Toc36025681"/>
      <w:bookmarkStart w:id="68" w:name="_Toc36025843"/>
      <w:bookmarkStart w:id="69" w:name="_Toc36027089"/>
      <w:r w:rsidRPr="00065F52">
        <w:rPr>
          <w:rFonts w:ascii="仿宋_GB2312" w:eastAsia="仿宋_GB2312" w:hAnsi="宋体" w:hint="eastAsia"/>
          <w:bCs/>
          <w:sz w:val="32"/>
          <w:szCs w:val="32"/>
        </w:rPr>
        <w:t>5.诉讼类型分布情况</w:t>
      </w:r>
      <w:bookmarkEnd w:id="66"/>
      <w:bookmarkEnd w:id="67"/>
      <w:bookmarkEnd w:id="68"/>
      <w:bookmarkEnd w:id="69"/>
    </w:p>
    <w:p w:rsidR="006B7F21" w:rsidRPr="00065F52" w:rsidRDefault="006B7F21" w:rsidP="006B7F21">
      <w:pPr>
        <w:spacing w:line="560" w:lineRule="exact"/>
        <w:ind w:firstLineChars="200" w:firstLine="640"/>
        <w:rPr>
          <w:rFonts w:ascii="仿宋_GB2312" w:eastAsia="仿宋_GB2312" w:hAnsi="宋体"/>
          <w:sz w:val="32"/>
          <w:szCs w:val="32"/>
        </w:rPr>
      </w:pPr>
      <w:r w:rsidRPr="00065F52">
        <w:rPr>
          <w:rFonts w:ascii="仿宋_GB2312" w:eastAsia="仿宋_GB2312" w:hAnsi="宋体" w:hint="eastAsia"/>
          <w:sz w:val="32"/>
          <w:szCs w:val="32"/>
        </w:rPr>
        <w:t>执行异议之诉在民事案由中</w:t>
      </w:r>
      <w:proofErr w:type="gramStart"/>
      <w:r w:rsidRPr="00065F52">
        <w:rPr>
          <w:rFonts w:ascii="仿宋_GB2312" w:eastAsia="仿宋_GB2312" w:hAnsi="宋体" w:hint="eastAsia"/>
          <w:sz w:val="32"/>
          <w:szCs w:val="32"/>
        </w:rPr>
        <w:t>分为案</w:t>
      </w:r>
      <w:proofErr w:type="gramEnd"/>
      <w:r w:rsidRPr="00065F52">
        <w:rPr>
          <w:rFonts w:ascii="仿宋_GB2312" w:eastAsia="仿宋_GB2312" w:hAnsi="宋体" w:hint="eastAsia"/>
          <w:sz w:val="32"/>
          <w:szCs w:val="32"/>
        </w:rPr>
        <w:t>外人执行异议之诉、申请执行人执行异议之诉、执行分配方案异议之诉。但在2016年最高院发布了《关于民事执行中变更、追加当事人若干问题的规定》之后，执行异议之</w:t>
      </w:r>
      <w:proofErr w:type="gramStart"/>
      <w:r w:rsidRPr="00065F52">
        <w:rPr>
          <w:rFonts w:ascii="仿宋_GB2312" w:eastAsia="仿宋_GB2312" w:hAnsi="宋体" w:hint="eastAsia"/>
          <w:sz w:val="32"/>
          <w:szCs w:val="32"/>
        </w:rPr>
        <w:t>诉出现</w:t>
      </w:r>
      <w:proofErr w:type="gramEnd"/>
      <w:r w:rsidRPr="00065F52">
        <w:rPr>
          <w:rFonts w:ascii="仿宋_GB2312" w:eastAsia="仿宋_GB2312" w:hAnsi="宋体" w:hint="eastAsia"/>
          <w:sz w:val="32"/>
          <w:szCs w:val="32"/>
        </w:rPr>
        <w:t>因追加被执行人而引发的执行异议之诉，因此下表中加入了追加被执行人执行异议之诉的统计。同年，最高院还发布了《关于人民法院办理财产保全案件若干问题的规定》，其中对诉讼保全过程中的执行异议之</w:t>
      </w:r>
      <w:proofErr w:type="gramStart"/>
      <w:r w:rsidRPr="00065F52">
        <w:rPr>
          <w:rFonts w:ascii="仿宋_GB2312" w:eastAsia="仿宋_GB2312" w:hAnsi="宋体" w:hint="eastAsia"/>
          <w:sz w:val="32"/>
          <w:szCs w:val="32"/>
        </w:rPr>
        <w:t>诉进行</w:t>
      </w:r>
      <w:proofErr w:type="gramEnd"/>
      <w:r w:rsidRPr="00065F52">
        <w:rPr>
          <w:rFonts w:ascii="仿宋_GB2312" w:eastAsia="仿宋_GB2312" w:hAnsi="宋体" w:hint="eastAsia"/>
          <w:sz w:val="32"/>
          <w:szCs w:val="32"/>
        </w:rPr>
        <w:t>了规定，但保全异议之诉仍会划分为案外人执行异议之诉和申请执行人执行异议之诉，且在诉讼阶段的保全执行异议之</w:t>
      </w:r>
      <w:proofErr w:type="gramStart"/>
      <w:r w:rsidRPr="00065F52">
        <w:rPr>
          <w:rFonts w:ascii="仿宋_GB2312" w:eastAsia="仿宋_GB2312" w:hAnsi="宋体" w:hint="eastAsia"/>
          <w:sz w:val="32"/>
          <w:szCs w:val="32"/>
        </w:rPr>
        <w:t>诉数量</w:t>
      </w:r>
      <w:proofErr w:type="gramEnd"/>
      <w:r w:rsidRPr="00065F52">
        <w:rPr>
          <w:rFonts w:ascii="仿宋_GB2312" w:eastAsia="仿宋_GB2312" w:hAnsi="宋体" w:hint="eastAsia"/>
          <w:sz w:val="32"/>
          <w:szCs w:val="32"/>
        </w:rPr>
        <w:t>尚少，因此，本白皮书将保全异议之诉的数据一并计算在执行异议之诉的统计中。</w:t>
      </w:r>
    </w:p>
    <w:p w:rsidR="006B7F21" w:rsidRPr="00065F52" w:rsidRDefault="006B7F21" w:rsidP="006B7F21">
      <w:pPr>
        <w:spacing w:line="560" w:lineRule="exact"/>
        <w:ind w:firstLineChars="200" w:firstLine="640"/>
        <w:rPr>
          <w:rFonts w:ascii="仿宋_GB2312" w:eastAsia="仿宋_GB2312" w:hAnsi="宋体"/>
          <w:sz w:val="32"/>
          <w:szCs w:val="32"/>
        </w:rPr>
      </w:pPr>
    </w:p>
    <w:p w:rsidR="006B7F21" w:rsidRPr="00065F52" w:rsidRDefault="006B7F21" w:rsidP="006B7F21">
      <w:pPr>
        <w:spacing w:line="560" w:lineRule="exact"/>
        <w:ind w:firstLineChars="200" w:firstLine="640"/>
        <w:rPr>
          <w:rFonts w:ascii="仿宋_GB2312" w:eastAsia="仿宋_GB2312" w:hAnsi="宋体"/>
          <w:sz w:val="32"/>
          <w:szCs w:val="32"/>
        </w:rPr>
      </w:pPr>
    </w:p>
    <w:p w:rsidR="006B7F21" w:rsidRPr="00065F52" w:rsidRDefault="006B7F21" w:rsidP="006B7F21">
      <w:pPr>
        <w:spacing w:line="560" w:lineRule="exact"/>
        <w:ind w:firstLineChars="200" w:firstLine="640"/>
        <w:rPr>
          <w:rFonts w:ascii="仿宋_GB2312" w:eastAsia="仿宋_GB2312" w:hAnsi="宋体"/>
          <w:sz w:val="32"/>
          <w:szCs w:val="32"/>
        </w:rPr>
      </w:pPr>
      <w:r w:rsidRPr="00065F52">
        <w:rPr>
          <w:rFonts w:ascii="仿宋_GB2312" w:eastAsia="仿宋_GB2312" w:hAnsi="宋体" w:hint="eastAsia"/>
          <w:noProof/>
          <w:sz w:val="32"/>
          <w:szCs w:val="32"/>
        </w:rPr>
        <w:drawing>
          <wp:anchor distT="0" distB="0" distL="114300" distR="114300" simplePos="0" relativeHeight="251660288" behindDoc="0" locked="0" layoutInCell="1" allowOverlap="1">
            <wp:simplePos x="0" y="0"/>
            <wp:positionH relativeFrom="margin">
              <wp:posOffset>442595</wp:posOffset>
            </wp:positionH>
            <wp:positionV relativeFrom="paragraph">
              <wp:posOffset>145415</wp:posOffset>
            </wp:positionV>
            <wp:extent cx="4886325" cy="3133725"/>
            <wp:effectExtent l="0" t="0" r="9525" b="9525"/>
            <wp:wrapNone/>
            <wp:docPr id="64" name="图表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6B7F21" w:rsidRPr="00065F52" w:rsidRDefault="006B7F21" w:rsidP="006B7F21">
      <w:pPr>
        <w:spacing w:line="560" w:lineRule="exact"/>
        <w:ind w:firstLineChars="200" w:firstLine="640"/>
        <w:rPr>
          <w:rFonts w:ascii="仿宋_GB2312" w:eastAsia="仿宋_GB2312" w:hAnsi="宋体"/>
          <w:sz w:val="32"/>
          <w:szCs w:val="32"/>
        </w:rPr>
      </w:pPr>
    </w:p>
    <w:p w:rsidR="006B7F21" w:rsidRPr="00065F52" w:rsidRDefault="006B7F21" w:rsidP="006B7F21">
      <w:pPr>
        <w:spacing w:line="560" w:lineRule="exact"/>
        <w:ind w:firstLineChars="200" w:firstLine="640"/>
        <w:rPr>
          <w:rFonts w:ascii="仿宋_GB2312" w:eastAsia="仿宋_GB2312" w:hAnsi="宋体"/>
          <w:sz w:val="32"/>
          <w:szCs w:val="32"/>
        </w:rPr>
      </w:pPr>
    </w:p>
    <w:p w:rsidR="006B7F21" w:rsidRPr="00065F52" w:rsidRDefault="006B7F21" w:rsidP="006B7F21">
      <w:pPr>
        <w:spacing w:line="560" w:lineRule="exact"/>
        <w:ind w:firstLineChars="200" w:firstLine="640"/>
        <w:rPr>
          <w:rFonts w:ascii="仿宋_GB2312" w:eastAsia="仿宋_GB2312" w:hAnsi="宋体"/>
          <w:sz w:val="32"/>
          <w:szCs w:val="32"/>
        </w:rPr>
      </w:pPr>
    </w:p>
    <w:p w:rsidR="006B7F21" w:rsidRPr="00065F52" w:rsidRDefault="006B7F21" w:rsidP="006B7F21">
      <w:pPr>
        <w:spacing w:line="560" w:lineRule="exact"/>
        <w:ind w:firstLineChars="200" w:firstLine="640"/>
        <w:rPr>
          <w:rFonts w:ascii="仿宋_GB2312" w:eastAsia="仿宋_GB2312" w:hAnsi="宋体"/>
          <w:sz w:val="32"/>
          <w:szCs w:val="32"/>
        </w:rPr>
      </w:pPr>
    </w:p>
    <w:p w:rsidR="006B7F21" w:rsidRPr="00065F52" w:rsidRDefault="006B7F21" w:rsidP="006B7F21">
      <w:pPr>
        <w:spacing w:line="560" w:lineRule="exact"/>
        <w:ind w:firstLineChars="200" w:firstLine="640"/>
        <w:rPr>
          <w:rFonts w:ascii="仿宋_GB2312" w:eastAsia="仿宋_GB2312" w:hAnsi="宋体"/>
          <w:sz w:val="32"/>
          <w:szCs w:val="32"/>
        </w:rPr>
      </w:pPr>
    </w:p>
    <w:p w:rsidR="006B7F21" w:rsidRPr="00065F52" w:rsidRDefault="006B7F21" w:rsidP="006B7F21">
      <w:pPr>
        <w:spacing w:line="560" w:lineRule="exact"/>
        <w:ind w:firstLineChars="200" w:firstLine="640"/>
        <w:rPr>
          <w:rFonts w:ascii="仿宋_GB2312" w:eastAsia="仿宋_GB2312" w:hAnsi="宋体"/>
          <w:sz w:val="32"/>
          <w:szCs w:val="32"/>
        </w:rPr>
      </w:pPr>
    </w:p>
    <w:p w:rsidR="006B7F21" w:rsidRPr="00065F52" w:rsidRDefault="006B7F21" w:rsidP="006B7F21">
      <w:pPr>
        <w:spacing w:line="560" w:lineRule="exact"/>
        <w:ind w:firstLineChars="200" w:firstLine="640"/>
        <w:rPr>
          <w:rFonts w:ascii="仿宋_GB2312" w:eastAsia="仿宋_GB2312" w:hAnsi="宋体"/>
          <w:sz w:val="32"/>
          <w:szCs w:val="32"/>
        </w:rPr>
      </w:pPr>
    </w:p>
    <w:p w:rsidR="006B7F21" w:rsidRPr="00065F52" w:rsidRDefault="006B7F21" w:rsidP="006B7F21">
      <w:pPr>
        <w:spacing w:line="560" w:lineRule="exact"/>
        <w:ind w:firstLineChars="200" w:firstLine="640"/>
        <w:rPr>
          <w:rFonts w:ascii="仿宋_GB2312" w:eastAsia="仿宋_GB2312" w:hAnsi="宋体"/>
          <w:sz w:val="32"/>
          <w:szCs w:val="32"/>
        </w:rPr>
      </w:pPr>
    </w:p>
    <w:p w:rsidR="006B7F21" w:rsidRPr="00065F52" w:rsidRDefault="006B7F21" w:rsidP="006B7F21">
      <w:pPr>
        <w:spacing w:line="560" w:lineRule="exact"/>
        <w:ind w:firstLineChars="200" w:firstLine="640"/>
        <w:rPr>
          <w:rFonts w:ascii="仿宋_GB2312" w:eastAsia="仿宋_GB2312" w:hAnsi="宋体"/>
          <w:sz w:val="32"/>
          <w:szCs w:val="32"/>
        </w:rPr>
      </w:pPr>
    </w:p>
    <w:p w:rsidR="006B7F21" w:rsidRPr="00065F52" w:rsidRDefault="006B7F21" w:rsidP="006B7F21">
      <w:pPr>
        <w:spacing w:line="560" w:lineRule="exact"/>
        <w:ind w:firstLineChars="200" w:firstLine="640"/>
        <w:rPr>
          <w:rFonts w:ascii="仿宋_GB2312" w:eastAsia="仿宋_GB2312" w:hAnsi="宋体"/>
          <w:sz w:val="32"/>
          <w:szCs w:val="32"/>
        </w:rPr>
      </w:pPr>
    </w:p>
    <w:p w:rsidR="006B7F21" w:rsidRPr="00065F52" w:rsidRDefault="006B7F21" w:rsidP="006B7F21">
      <w:pPr>
        <w:keepNext/>
        <w:keepLines/>
        <w:spacing w:line="416" w:lineRule="auto"/>
        <w:ind w:firstLineChars="200" w:firstLine="640"/>
        <w:outlineLvl w:val="1"/>
        <w:rPr>
          <w:rFonts w:ascii="楷体_GB2312" w:eastAsia="楷体_GB2312" w:hAnsi="宋体"/>
          <w:bCs/>
          <w:sz w:val="32"/>
          <w:szCs w:val="32"/>
        </w:rPr>
      </w:pPr>
      <w:bookmarkStart w:id="70" w:name="_Toc36025658"/>
      <w:bookmarkStart w:id="71" w:name="_Toc36025682"/>
      <w:bookmarkStart w:id="72" w:name="_Toc36025844"/>
      <w:bookmarkStart w:id="73" w:name="_Toc36027090"/>
      <w:r w:rsidRPr="00065F52">
        <w:rPr>
          <w:rFonts w:ascii="楷体_GB2312" w:eastAsia="楷体_GB2312" w:hAnsi="宋体" w:hint="eastAsia"/>
          <w:bCs/>
          <w:sz w:val="32"/>
          <w:szCs w:val="32"/>
        </w:rPr>
        <w:t>（二）执行异议与执行异议之诉审查中的常见问题分析</w:t>
      </w:r>
      <w:bookmarkEnd w:id="70"/>
      <w:bookmarkEnd w:id="71"/>
      <w:bookmarkEnd w:id="72"/>
      <w:bookmarkEnd w:id="73"/>
    </w:p>
    <w:p w:rsidR="0028503A" w:rsidRPr="00065F52" w:rsidRDefault="006B7F21" w:rsidP="0028503A">
      <w:pPr>
        <w:spacing w:line="560" w:lineRule="exact"/>
        <w:ind w:firstLineChars="200" w:firstLine="640"/>
        <w:rPr>
          <w:rFonts w:ascii="仿宋_GB2312" w:eastAsia="仿宋_GB2312" w:hAnsi="宋体"/>
          <w:sz w:val="32"/>
          <w:szCs w:val="32"/>
        </w:rPr>
      </w:pPr>
      <w:r w:rsidRPr="00065F52">
        <w:rPr>
          <w:rFonts w:ascii="仿宋_GB2312" w:eastAsia="仿宋_GB2312" w:hAnsi="宋体" w:hint="eastAsia"/>
          <w:sz w:val="32"/>
          <w:szCs w:val="32"/>
        </w:rPr>
        <w:t>经过对青岛地区两级法院2017-2019年期间执行异议与执行异议之诉案件进行样本统计，并对形成该类诉讼的各类基础法律关系进行分类统计，该类诉讼在审判实践中的疑点、难点问题较多。本白皮书将各类问题划分为程序性问题、实体性问题两个方面，分别进行总结。</w:t>
      </w:r>
      <w:bookmarkStart w:id="74" w:name="_Toc36025659"/>
      <w:bookmarkStart w:id="75" w:name="_Toc36025683"/>
      <w:bookmarkStart w:id="76" w:name="_Toc36025845"/>
      <w:bookmarkStart w:id="77" w:name="_Toc36027091"/>
    </w:p>
    <w:p w:rsidR="006B7F21" w:rsidRPr="00065F52" w:rsidRDefault="0028503A" w:rsidP="0028503A">
      <w:pPr>
        <w:spacing w:line="560" w:lineRule="exact"/>
        <w:ind w:firstLineChars="200" w:firstLine="640"/>
        <w:rPr>
          <w:rFonts w:ascii="仿宋_GB2312" w:eastAsia="仿宋_GB2312" w:hAnsi="宋体"/>
          <w:sz w:val="32"/>
          <w:szCs w:val="32"/>
        </w:rPr>
      </w:pPr>
      <w:r w:rsidRPr="00065F52">
        <w:rPr>
          <w:rFonts w:ascii="仿宋_GB2312" w:eastAsia="仿宋_GB2312" w:hAnsi="宋体" w:hint="eastAsia"/>
          <w:sz w:val="32"/>
          <w:szCs w:val="32"/>
        </w:rPr>
        <w:t>1.</w:t>
      </w:r>
      <w:r w:rsidR="006B7F21" w:rsidRPr="00065F52">
        <w:rPr>
          <w:rFonts w:ascii="仿宋_GB2312" w:eastAsia="仿宋_GB2312" w:hAnsi="宋体" w:hint="eastAsia"/>
          <w:sz w:val="32"/>
          <w:szCs w:val="32"/>
        </w:rPr>
        <w:t>程序性问题</w:t>
      </w:r>
      <w:bookmarkEnd w:id="74"/>
      <w:bookmarkEnd w:id="75"/>
      <w:bookmarkEnd w:id="76"/>
      <w:bookmarkEnd w:id="77"/>
      <w:r w:rsidRPr="00065F52">
        <w:rPr>
          <w:rFonts w:ascii="仿宋_GB2312" w:eastAsia="仿宋_GB2312" w:hAnsi="宋体" w:hint="eastAsia"/>
          <w:sz w:val="32"/>
          <w:szCs w:val="32"/>
        </w:rPr>
        <w:t>：包括</w:t>
      </w:r>
      <w:r w:rsidRPr="00065F52">
        <w:rPr>
          <w:rFonts w:ascii="仿宋_GB2312" w:eastAsia="仿宋_GB2312" w:hAnsi="宋体" w:hint="eastAsia"/>
          <w:bCs/>
          <w:sz w:val="32"/>
          <w:szCs w:val="32"/>
        </w:rPr>
        <w:t>当事人的诉讼地位、</w:t>
      </w:r>
      <w:r w:rsidR="006B7F21" w:rsidRPr="00065F52">
        <w:rPr>
          <w:rFonts w:ascii="仿宋_GB2312" w:eastAsia="仿宋_GB2312" w:hAnsi="宋体" w:hint="eastAsia"/>
          <w:bCs/>
          <w:sz w:val="32"/>
          <w:szCs w:val="32"/>
        </w:rPr>
        <w:t>适用程序</w:t>
      </w:r>
      <w:r w:rsidRPr="00065F52">
        <w:rPr>
          <w:rFonts w:ascii="仿宋_GB2312" w:eastAsia="仿宋_GB2312" w:hAnsi="宋体" w:hint="eastAsia"/>
          <w:bCs/>
          <w:sz w:val="32"/>
          <w:szCs w:val="32"/>
        </w:rPr>
        <w:t>、</w:t>
      </w:r>
      <w:r w:rsidR="006B7F21" w:rsidRPr="00065F52">
        <w:rPr>
          <w:rFonts w:ascii="仿宋_GB2312" w:eastAsia="仿宋_GB2312" w:hAnsi="宋体" w:hint="eastAsia"/>
          <w:sz w:val="32"/>
          <w:szCs w:val="32"/>
        </w:rPr>
        <w:t>被执行人的范围</w:t>
      </w:r>
      <w:r w:rsidRPr="00065F52">
        <w:rPr>
          <w:rFonts w:ascii="仿宋_GB2312" w:eastAsia="仿宋_GB2312" w:hAnsi="宋体" w:hint="eastAsia"/>
          <w:sz w:val="32"/>
          <w:szCs w:val="32"/>
        </w:rPr>
        <w:t>、</w:t>
      </w:r>
      <w:r w:rsidR="006B7F21" w:rsidRPr="00065F52">
        <w:rPr>
          <w:rFonts w:ascii="仿宋_GB2312" w:eastAsia="仿宋_GB2312" w:hAnsi="宋体" w:hint="eastAsia"/>
          <w:sz w:val="32"/>
          <w:szCs w:val="32"/>
        </w:rPr>
        <w:t>诉讼请求</w:t>
      </w:r>
      <w:r w:rsidRPr="00065F52">
        <w:rPr>
          <w:rFonts w:ascii="仿宋_GB2312" w:eastAsia="仿宋_GB2312" w:hAnsi="宋体" w:hint="eastAsia"/>
          <w:sz w:val="32"/>
          <w:szCs w:val="32"/>
        </w:rPr>
        <w:t>、</w:t>
      </w:r>
      <w:r w:rsidR="006B7F21" w:rsidRPr="00065F52">
        <w:rPr>
          <w:rFonts w:ascii="仿宋_GB2312" w:eastAsia="仿宋_GB2312" w:hAnsi="宋体" w:hint="eastAsia"/>
          <w:bCs/>
          <w:sz w:val="32"/>
          <w:szCs w:val="32"/>
        </w:rPr>
        <w:t>执行异议之诉与再审程序及第三人撤销之</w:t>
      </w:r>
      <w:proofErr w:type="gramStart"/>
      <w:r w:rsidR="006B7F21" w:rsidRPr="00065F52">
        <w:rPr>
          <w:rFonts w:ascii="仿宋_GB2312" w:eastAsia="仿宋_GB2312" w:hAnsi="宋体" w:hint="eastAsia"/>
          <w:bCs/>
          <w:sz w:val="32"/>
          <w:szCs w:val="32"/>
        </w:rPr>
        <w:t>诉之间</w:t>
      </w:r>
      <w:proofErr w:type="gramEnd"/>
      <w:r w:rsidR="006B7F21" w:rsidRPr="00065F52">
        <w:rPr>
          <w:rFonts w:ascii="仿宋_GB2312" w:eastAsia="仿宋_GB2312" w:hAnsi="宋体" w:hint="eastAsia"/>
          <w:bCs/>
          <w:sz w:val="32"/>
          <w:szCs w:val="32"/>
        </w:rPr>
        <w:t>的程序交叉问题</w:t>
      </w:r>
      <w:r w:rsidRPr="00065F52">
        <w:rPr>
          <w:rFonts w:ascii="仿宋_GB2312" w:eastAsia="仿宋_GB2312" w:hAnsi="宋体" w:hint="eastAsia"/>
          <w:bCs/>
          <w:sz w:val="32"/>
          <w:szCs w:val="32"/>
        </w:rPr>
        <w:t>等</w:t>
      </w:r>
      <w:r w:rsidR="00DB1CFD">
        <w:rPr>
          <w:rFonts w:ascii="仿宋_GB2312" w:eastAsia="仿宋_GB2312" w:hAnsi="宋体" w:hint="eastAsia"/>
          <w:bCs/>
          <w:sz w:val="32"/>
          <w:szCs w:val="32"/>
        </w:rPr>
        <w:t>。</w:t>
      </w:r>
    </w:p>
    <w:p w:rsidR="006B7F21" w:rsidRPr="00065F52" w:rsidRDefault="0028503A" w:rsidP="0028503A">
      <w:pPr>
        <w:keepNext/>
        <w:keepLines/>
        <w:spacing w:line="416" w:lineRule="auto"/>
        <w:outlineLvl w:val="2"/>
        <w:rPr>
          <w:rFonts w:ascii="仿宋_GB2312" w:eastAsia="仿宋_GB2312" w:hAnsi="宋体"/>
          <w:sz w:val="32"/>
          <w:szCs w:val="32"/>
        </w:rPr>
      </w:pPr>
      <w:r w:rsidRPr="00065F52">
        <w:rPr>
          <w:rFonts w:ascii="仿宋_GB2312" w:eastAsia="仿宋_GB2312" w:hAnsi="微软雅黑" w:hint="eastAsia"/>
          <w:bCs/>
          <w:color w:val="000000"/>
          <w:sz w:val="32"/>
          <w:szCs w:val="32"/>
        </w:rPr>
        <w:lastRenderedPageBreak/>
        <w:t xml:space="preserve">   </w:t>
      </w:r>
      <w:r w:rsidR="006B7F21" w:rsidRPr="00065F52">
        <w:rPr>
          <w:rFonts w:ascii="仿宋_GB2312" w:eastAsia="仿宋_GB2312" w:hAnsi="微软雅黑" w:hint="eastAsia"/>
          <w:bCs/>
          <w:color w:val="000000"/>
          <w:sz w:val="32"/>
          <w:szCs w:val="32"/>
        </w:rPr>
        <w:t> </w:t>
      </w:r>
      <w:bookmarkStart w:id="78" w:name="_Toc36025660"/>
      <w:bookmarkStart w:id="79" w:name="_Toc36025684"/>
      <w:bookmarkStart w:id="80" w:name="_Toc36025846"/>
      <w:bookmarkStart w:id="81" w:name="_Toc36027092"/>
      <w:r w:rsidR="006B7F21" w:rsidRPr="00065F52">
        <w:rPr>
          <w:rFonts w:ascii="仿宋_GB2312" w:eastAsia="仿宋_GB2312" w:hAnsi="宋体" w:hint="eastAsia"/>
          <w:bCs/>
          <w:sz w:val="32"/>
          <w:szCs w:val="32"/>
        </w:rPr>
        <w:t>2.实体性问题</w:t>
      </w:r>
      <w:bookmarkEnd w:id="78"/>
      <w:bookmarkEnd w:id="79"/>
      <w:bookmarkEnd w:id="80"/>
      <w:bookmarkEnd w:id="81"/>
      <w:r w:rsidRPr="00065F52">
        <w:rPr>
          <w:rFonts w:ascii="仿宋_GB2312" w:eastAsia="仿宋_GB2312" w:hAnsi="宋体" w:hint="eastAsia"/>
          <w:bCs/>
          <w:sz w:val="32"/>
          <w:szCs w:val="32"/>
        </w:rPr>
        <w:t>：</w:t>
      </w:r>
      <w:proofErr w:type="gramStart"/>
      <w:r w:rsidRPr="00065F52">
        <w:rPr>
          <w:rFonts w:ascii="仿宋_GB2312" w:eastAsia="仿宋_GB2312" w:hAnsi="宋体" w:hint="eastAsia"/>
          <w:bCs/>
          <w:sz w:val="32"/>
          <w:szCs w:val="32"/>
        </w:rPr>
        <w:t>包括</w:t>
      </w:r>
      <w:r w:rsidR="006B7F21" w:rsidRPr="00065F52">
        <w:rPr>
          <w:rFonts w:ascii="仿宋_GB2312" w:eastAsia="仿宋_GB2312" w:hAnsi="宋体" w:hint="eastAsia"/>
          <w:bCs/>
          <w:sz w:val="32"/>
          <w:szCs w:val="32"/>
        </w:rPr>
        <w:t>案</w:t>
      </w:r>
      <w:proofErr w:type="gramEnd"/>
      <w:r w:rsidR="006B7F21" w:rsidRPr="00065F52">
        <w:rPr>
          <w:rFonts w:ascii="仿宋_GB2312" w:eastAsia="仿宋_GB2312" w:hAnsi="宋体" w:hint="eastAsia"/>
          <w:bCs/>
          <w:sz w:val="32"/>
          <w:szCs w:val="32"/>
        </w:rPr>
        <w:t>外人对不动产主张权利排除执行的审查</w:t>
      </w:r>
      <w:r w:rsidRPr="00065F52">
        <w:rPr>
          <w:rFonts w:ascii="仿宋_GB2312" w:eastAsia="仿宋_GB2312" w:hAnsi="宋体" w:hint="eastAsia"/>
          <w:bCs/>
          <w:sz w:val="32"/>
          <w:szCs w:val="32"/>
        </w:rPr>
        <w:t>，</w:t>
      </w:r>
      <w:r w:rsidR="006B7F21" w:rsidRPr="00065F52">
        <w:rPr>
          <w:rFonts w:ascii="仿宋_GB2312" w:eastAsia="仿宋_GB2312" w:hAnsi="宋体" w:hint="eastAsia"/>
          <w:sz w:val="32"/>
          <w:szCs w:val="32"/>
        </w:rPr>
        <w:t>不动产预约合同</w:t>
      </w:r>
      <w:r w:rsidRPr="00065F52">
        <w:rPr>
          <w:rFonts w:ascii="仿宋_GB2312" w:eastAsia="仿宋_GB2312" w:hAnsi="宋体" w:hint="eastAsia"/>
          <w:sz w:val="32"/>
          <w:szCs w:val="32"/>
        </w:rPr>
        <w:t>、</w:t>
      </w:r>
      <w:r w:rsidR="006B7F21" w:rsidRPr="00065F52">
        <w:rPr>
          <w:rFonts w:ascii="仿宋_GB2312" w:eastAsia="仿宋_GB2312" w:hAnsi="宋体" w:hint="eastAsia"/>
          <w:bCs/>
          <w:sz w:val="32"/>
          <w:szCs w:val="32"/>
        </w:rPr>
        <w:t>预告登记人</w:t>
      </w:r>
      <w:proofErr w:type="gramStart"/>
      <w:r w:rsidR="006B7F21" w:rsidRPr="00065F52">
        <w:rPr>
          <w:rFonts w:ascii="仿宋_GB2312" w:eastAsia="仿宋_GB2312" w:hAnsi="宋体" w:hint="eastAsia"/>
          <w:bCs/>
          <w:sz w:val="32"/>
          <w:szCs w:val="32"/>
        </w:rPr>
        <w:t>或网签人</w:t>
      </w:r>
      <w:proofErr w:type="gramEnd"/>
      <w:r w:rsidR="006B7F21" w:rsidRPr="00065F52">
        <w:rPr>
          <w:rFonts w:ascii="仿宋_GB2312" w:eastAsia="仿宋_GB2312" w:hAnsi="宋体" w:hint="eastAsia"/>
          <w:bCs/>
          <w:sz w:val="32"/>
          <w:szCs w:val="32"/>
        </w:rPr>
        <w:t>对抗执行</w:t>
      </w:r>
      <w:r w:rsidRPr="00065F52">
        <w:rPr>
          <w:rFonts w:ascii="仿宋_GB2312" w:eastAsia="仿宋_GB2312" w:hAnsi="宋体" w:hint="eastAsia"/>
          <w:bCs/>
          <w:sz w:val="32"/>
          <w:szCs w:val="32"/>
        </w:rPr>
        <w:t>，</w:t>
      </w:r>
      <w:r w:rsidR="006B7F21" w:rsidRPr="00065F52">
        <w:rPr>
          <w:rFonts w:ascii="仿宋_GB2312" w:eastAsia="仿宋_GB2312" w:hAnsi="宋体" w:hint="eastAsia"/>
          <w:sz w:val="32"/>
          <w:szCs w:val="32"/>
        </w:rPr>
        <w:t>借名买房</w:t>
      </w:r>
      <w:r w:rsidRPr="00065F52">
        <w:rPr>
          <w:rFonts w:ascii="仿宋_GB2312" w:eastAsia="仿宋_GB2312" w:hAnsi="宋体" w:hint="eastAsia"/>
          <w:sz w:val="32"/>
          <w:szCs w:val="32"/>
        </w:rPr>
        <w:t>、以物抵债、共有权、被拆迁人</w:t>
      </w:r>
      <w:r w:rsidR="006B7F21" w:rsidRPr="00065F52">
        <w:rPr>
          <w:rFonts w:ascii="仿宋_GB2312" w:eastAsia="仿宋_GB2312" w:hAnsi="宋体" w:hint="eastAsia"/>
          <w:sz w:val="32"/>
          <w:szCs w:val="32"/>
        </w:rPr>
        <w:t>对抗执行</w:t>
      </w:r>
      <w:r w:rsidRPr="00065F52">
        <w:rPr>
          <w:rFonts w:ascii="仿宋_GB2312" w:eastAsia="仿宋_GB2312" w:hAnsi="宋体" w:hint="eastAsia"/>
          <w:sz w:val="32"/>
          <w:szCs w:val="32"/>
        </w:rPr>
        <w:t>，</w:t>
      </w:r>
      <w:r w:rsidR="006B7F21" w:rsidRPr="00065F52">
        <w:rPr>
          <w:rFonts w:ascii="仿宋_GB2312" w:eastAsia="仿宋_GB2312" w:hAnsi="宋体" w:hint="eastAsia"/>
          <w:sz w:val="32"/>
          <w:szCs w:val="32"/>
        </w:rPr>
        <w:t>建设工程价款优先受偿权、担保物权对抗执行</w:t>
      </w:r>
      <w:r w:rsidRPr="00065F52">
        <w:rPr>
          <w:rFonts w:ascii="仿宋_GB2312" w:eastAsia="仿宋_GB2312" w:hAnsi="宋体" w:hint="eastAsia"/>
          <w:sz w:val="32"/>
          <w:szCs w:val="32"/>
        </w:rPr>
        <w:t>及</w:t>
      </w:r>
      <w:r w:rsidR="006B7F21" w:rsidRPr="00065F52">
        <w:rPr>
          <w:rFonts w:ascii="仿宋_GB2312" w:eastAsia="仿宋_GB2312" w:hAnsi="宋体" w:hint="eastAsia"/>
          <w:sz w:val="32"/>
          <w:szCs w:val="32"/>
        </w:rPr>
        <w:t>承租人对抗执行</w:t>
      </w:r>
      <w:r w:rsidRPr="00065F52">
        <w:rPr>
          <w:rFonts w:ascii="仿宋_GB2312" w:eastAsia="仿宋_GB2312" w:hAnsi="宋体" w:hint="eastAsia"/>
          <w:sz w:val="32"/>
          <w:szCs w:val="32"/>
        </w:rPr>
        <w:t>等。</w:t>
      </w:r>
    </w:p>
    <w:p w:rsidR="006B7F21" w:rsidRPr="00065F52" w:rsidRDefault="006B7F21" w:rsidP="0068488C">
      <w:pPr>
        <w:keepNext/>
        <w:keepLines/>
        <w:spacing w:line="416" w:lineRule="auto"/>
        <w:ind w:firstLineChars="200" w:firstLine="640"/>
        <w:outlineLvl w:val="1"/>
        <w:rPr>
          <w:rFonts w:ascii="楷体_GB2312" w:eastAsia="楷体_GB2312" w:hAnsi="宋体"/>
          <w:bCs/>
          <w:sz w:val="32"/>
          <w:szCs w:val="32"/>
        </w:rPr>
      </w:pPr>
      <w:bookmarkStart w:id="82" w:name="_Toc36027093"/>
      <w:r w:rsidRPr="00065F52">
        <w:rPr>
          <w:rFonts w:ascii="楷体_GB2312" w:eastAsia="楷体_GB2312" w:hAnsi="宋体" w:hint="eastAsia"/>
          <w:bCs/>
          <w:sz w:val="32"/>
          <w:szCs w:val="32"/>
        </w:rPr>
        <w:t>（三）执行异议与执行异议之诉中的虚假诉讼问题</w:t>
      </w:r>
      <w:bookmarkEnd w:id="82"/>
    </w:p>
    <w:p w:rsidR="006B7F21" w:rsidRPr="00065F52" w:rsidRDefault="006B7F21" w:rsidP="006B7F21">
      <w:pPr>
        <w:spacing w:line="560" w:lineRule="exact"/>
        <w:ind w:firstLineChars="200" w:firstLine="640"/>
        <w:rPr>
          <w:rFonts w:ascii="仿宋_GB2312" w:eastAsia="仿宋_GB2312" w:hAnsi="宋体"/>
          <w:sz w:val="32"/>
          <w:szCs w:val="32"/>
        </w:rPr>
      </w:pPr>
      <w:r w:rsidRPr="00065F52">
        <w:rPr>
          <w:rFonts w:ascii="仿宋_GB2312" w:eastAsia="仿宋_GB2312" w:hAnsi="宋体" w:hint="eastAsia"/>
          <w:sz w:val="32"/>
          <w:szCs w:val="32"/>
        </w:rPr>
        <w:t>执行异议与执行异议之</w:t>
      </w:r>
      <w:proofErr w:type="gramStart"/>
      <w:r w:rsidRPr="00065F52">
        <w:rPr>
          <w:rFonts w:ascii="仿宋_GB2312" w:eastAsia="仿宋_GB2312" w:hAnsi="宋体" w:hint="eastAsia"/>
          <w:sz w:val="32"/>
          <w:szCs w:val="32"/>
        </w:rPr>
        <w:t>诉不同</w:t>
      </w:r>
      <w:proofErr w:type="gramEnd"/>
      <w:r w:rsidRPr="00065F52">
        <w:rPr>
          <w:rFonts w:ascii="仿宋_GB2312" w:eastAsia="仿宋_GB2312" w:hAnsi="宋体" w:hint="eastAsia"/>
          <w:sz w:val="32"/>
          <w:szCs w:val="32"/>
        </w:rPr>
        <w:t>于一般民事诉讼的显著之处在于其诉讼主体为三方当事人：申请执行人、被执行人及案外人。申请执行人通过诉讼或仲裁程序取得执行依据，为实现自己的债权耗费大量的精力、财力、物力等。但在实现债权受偿的过程中，因案外人对执行标的主张实体权利，而导致申请执行人已经取得的债权不能得到受偿。因此，</w:t>
      </w:r>
      <w:proofErr w:type="gramStart"/>
      <w:r w:rsidRPr="00065F52">
        <w:rPr>
          <w:rFonts w:ascii="仿宋_GB2312" w:eastAsia="仿宋_GB2312" w:hAnsi="宋体" w:hint="eastAsia"/>
          <w:sz w:val="32"/>
          <w:szCs w:val="32"/>
        </w:rPr>
        <w:t>对于案</w:t>
      </w:r>
      <w:proofErr w:type="gramEnd"/>
      <w:r w:rsidRPr="00065F52">
        <w:rPr>
          <w:rFonts w:ascii="仿宋_GB2312" w:eastAsia="仿宋_GB2312" w:hAnsi="宋体" w:hint="eastAsia"/>
          <w:sz w:val="32"/>
          <w:szCs w:val="32"/>
        </w:rPr>
        <w:t>外人异议的审查应当慎之又慎，从严把握，</w:t>
      </w:r>
      <w:proofErr w:type="gramStart"/>
      <w:r w:rsidRPr="00065F52">
        <w:rPr>
          <w:rFonts w:ascii="仿宋_GB2312" w:eastAsia="仿宋_GB2312" w:hAnsi="宋体" w:hint="eastAsia"/>
          <w:sz w:val="32"/>
          <w:szCs w:val="32"/>
        </w:rPr>
        <w:t>防止案</w:t>
      </w:r>
      <w:proofErr w:type="gramEnd"/>
      <w:r w:rsidRPr="00065F52">
        <w:rPr>
          <w:rFonts w:ascii="仿宋_GB2312" w:eastAsia="仿宋_GB2312" w:hAnsi="宋体" w:hint="eastAsia"/>
          <w:sz w:val="32"/>
          <w:szCs w:val="32"/>
        </w:rPr>
        <w:t>外人与被执行人之间恶意串通，以虚假诉讼规避执行、拖延执行。</w:t>
      </w:r>
    </w:p>
    <w:p w:rsidR="006B7F21" w:rsidRPr="00065F52" w:rsidRDefault="006B7F21" w:rsidP="006B7F21">
      <w:pPr>
        <w:spacing w:line="560" w:lineRule="exact"/>
        <w:ind w:firstLineChars="200" w:firstLine="640"/>
        <w:rPr>
          <w:rFonts w:ascii="仿宋_GB2312" w:eastAsia="仿宋_GB2312" w:hAnsi="宋体"/>
          <w:sz w:val="32"/>
          <w:szCs w:val="32"/>
        </w:rPr>
      </w:pPr>
      <w:r w:rsidRPr="00065F52">
        <w:rPr>
          <w:rFonts w:ascii="仿宋_GB2312" w:eastAsia="仿宋_GB2312" w:hAnsi="宋体" w:hint="eastAsia"/>
          <w:sz w:val="32"/>
          <w:szCs w:val="32"/>
        </w:rPr>
        <w:t>根据2017年至2019年期间，青岛中院执行异议与执行异议之诉案件的审查样本分析，执行异议经过实体审查获得支持的比例为49%和47%，即在审判实践中，有近五成的案件达不到排除执行的标准而不能排除执行行为。在这部分案件中，法官在审理过程中，很大比例被心证为虚假诉讼。但是由于执行异议之诉案件属于民事案件，拘囿于证据审查、不告不理、自认规则等民事审查原则，即使被心证为虚假诉讼案件，仍难以明确予以认定。案外人执行异议中的虚假诉讼问题已经呈蔓延溃决之势，因此，如何从制度上对虚假诉讼问题进行认定并规制，需要引起重视。</w:t>
      </w:r>
    </w:p>
    <w:p w:rsidR="006B7F21" w:rsidRPr="00065F52" w:rsidRDefault="006B7F21" w:rsidP="0068488C">
      <w:pPr>
        <w:keepNext/>
        <w:keepLines/>
        <w:spacing w:line="416" w:lineRule="auto"/>
        <w:ind w:firstLineChars="200" w:firstLine="640"/>
        <w:outlineLvl w:val="1"/>
        <w:rPr>
          <w:rFonts w:ascii="楷体_GB2312" w:eastAsia="楷体_GB2312" w:hAnsi="宋体"/>
          <w:bCs/>
          <w:sz w:val="32"/>
          <w:szCs w:val="32"/>
        </w:rPr>
      </w:pPr>
      <w:bookmarkStart w:id="83" w:name="_Toc36027094"/>
      <w:r w:rsidRPr="00065F52">
        <w:rPr>
          <w:rFonts w:ascii="楷体_GB2312" w:eastAsia="楷体_GB2312" w:hAnsi="宋体" w:hint="eastAsia"/>
          <w:bCs/>
          <w:sz w:val="32"/>
          <w:szCs w:val="32"/>
        </w:rPr>
        <w:lastRenderedPageBreak/>
        <w:t>（四）执行异议与执行异议之诉对执行效率的影响</w:t>
      </w:r>
      <w:bookmarkEnd w:id="83"/>
    </w:p>
    <w:p w:rsidR="006B7F21" w:rsidRPr="00065F52" w:rsidRDefault="006B7F21" w:rsidP="006B7F21">
      <w:pPr>
        <w:spacing w:line="560" w:lineRule="exact"/>
        <w:ind w:firstLineChars="200" w:firstLine="640"/>
        <w:rPr>
          <w:rFonts w:ascii="仿宋_GB2312" w:eastAsia="仿宋_GB2312" w:hAnsi="宋体"/>
          <w:sz w:val="32"/>
          <w:szCs w:val="32"/>
        </w:rPr>
      </w:pPr>
      <w:r w:rsidRPr="00065F52">
        <w:rPr>
          <w:rFonts w:ascii="仿宋_GB2312" w:eastAsia="仿宋_GB2312" w:hAnsi="宋体" w:hint="eastAsia"/>
          <w:sz w:val="32"/>
          <w:szCs w:val="32"/>
        </w:rPr>
        <w:t>司法实践中，在执行程序中提出执行实体异议的比例已经超过30%。执行异议之</w:t>
      </w:r>
      <w:proofErr w:type="gramStart"/>
      <w:r w:rsidRPr="00065F52">
        <w:rPr>
          <w:rFonts w:ascii="仿宋_GB2312" w:eastAsia="仿宋_GB2312" w:hAnsi="宋体" w:hint="eastAsia"/>
          <w:sz w:val="32"/>
          <w:szCs w:val="32"/>
        </w:rPr>
        <w:t>诉设立</w:t>
      </w:r>
      <w:proofErr w:type="gramEnd"/>
      <w:r w:rsidRPr="00065F52">
        <w:rPr>
          <w:rFonts w:ascii="仿宋_GB2312" w:eastAsia="仿宋_GB2312" w:hAnsi="宋体" w:hint="eastAsia"/>
          <w:sz w:val="32"/>
          <w:szCs w:val="32"/>
        </w:rPr>
        <w:t>的初衷是为了保护案外人的</w:t>
      </w:r>
      <w:proofErr w:type="gramStart"/>
      <w:r w:rsidRPr="00065F52">
        <w:rPr>
          <w:rFonts w:ascii="仿宋_GB2312" w:eastAsia="仿宋_GB2312" w:hAnsi="宋体" w:hint="eastAsia"/>
          <w:sz w:val="32"/>
          <w:szCs w:val="32"/>
        </w:rPr>
        <w:t>的</w:t>
      </w:r>
      <w:proofErr w:type="gramEnd"/>
      <w:r w:rsidRPr="00065F52">
        <w:rPr>
          <w:rFonts w:ascii="仿宋_GB2312" w:eastAsia="仿宋_GB2312" w:hAnsi="宋体" w:hint="eastAsia"/>
          <w:sz w:val="32"/>
          <w:szCs w:val="32"/>
        </w:rPr>
        <w:t>合法权益不受侵害。但该项制度设立之后，案外人的实体异议导致执行程序处于停滞状态，对执行效率的影响非常明显。执行异议之诉在程序上适用一裁两审的诉讼程序，在诉讼过程中仅能适用普通程序，本身审理周期就相对一般民事案件较长，而被执行人进入执行异议之诉的诉讼程序后，经常处于下落不明的状态，需要进行公告送达，造成审判周期进一步延长。而且，执行异议之</w:t>
      </w:r>
      <w:proofErr w:type="gramStart"/>
      <w:r w:rsidRPr="00065F52">
        <w:rPr>
          <w:rFonts w:ascii="仿宋_GB2312" w:eastAsia="仿宋_GB2312" w:hAnsi="宋体" w:hint="eastAsia"/>
          <w:sz w:val="32"/>
          <w:szCs w:val="32"/>
        </w:rPr>
        <w:t>诉本身</w:t>
      </w:r>
      <w:proofErr w:type="gramEnd"/>
      <w:r w:rsidRPr="00065F52">
        <w:rPr>
          <w:rFonts w:ascii="仿宋_GB2312" w:eastAsia="仿宋_GB2312" w:hAnsi="宋体" w:hint="eastAsia"/>
          <w:sz w:val="32"/>
          <w:szCs w:val="32"/>
        </w:rPr>
        <w:t>属于三方博弈，法律关系较一般民事案件更为复杂，利益冲突更加尖锐，又有自成体系的裁判规则，需要依据裁判规则进行的事实审查内容更为详尽。因此，普遍存在审判周期较长的问题。而执行程序由于执行异议的中断，导致整个执行周期变得冗长。执行异议之诉审判周期与执行效率之间的矛盾在实践中已经日渐突出，成为亟待处理的问题。</w:t>
      </w:r>
    </w:p>
    <w:p w:rsidR="006B7F21" w:rsidRPr="00065F52" w:rsidRDefault="006B7F21" w:rsidP="006B7F21">
      <w:pPr>
        <w:spacing w:line="560" w:lineRule="exact"/>
        <w:ind w:firstLineChars="200" w:firstLine="640"/>
        <w:rPr>
          <w:rFonts w:ascii="仿宋_GB2312" w:eastAsia="仿宋_GB2312" w:hAnsi="宋体"/>
          <w:sz w:val="32"/>
          <w:szCs w:val="32"/>
        </w:rPr>
      </w:pPr>
    </w:p>
    <w:p w:rsidR="006B7F21" w:rsidRPr="00065F52" w:rsidRDefault="006B7F21" w:rsidP="006B7F21">
      <w:pPr>
        <w:spacing w:line="560" w:lineRule="exact"/>
        <w:ind w:firstLineChars="200" w:firstLine="640"/>
        <w:rPr>
          <w:rFonts w:ascii="仿宋_GB2312" w:eastAsia="仿宋_GB2312" w:hAnsi="宋体"/>
          <w:sz w:val="32"/>
          <w:szCs w:val="32"/>
        </w:rPr>
      </w:pPr>
    </w:p>
    <w:p w:rsidR="006B7F21" w:rsidRPr="00065F52" w:rsidRDefault="006B7F21" w:rsidP="006B7F21">
      <w:pPr>
        <w:spacing w:line="560" w:lineRule="exact"/>
        <w:ind w:firstLineChars="200" w:firstLine="640"/>
        <w:rPr>
          <w:rFonts w:ascii="仿宋_GB2312" w:eastAsia="仿宋_GB2312" w:hAnsi="宋体"/>
          <w:sz w:val="32"/>
          <w:szCs w:val="32"/>
        </w:rPr>
      </w:pPr>
    </w:p>
    <w:p w:rsidR="006B7F21" w:rsidRPr="00065F52" w:rsidRDefault="006B7F21" w:rsidP="006B7F21">
      <w:pPr>
        <w:spacing w:line="560" w:lineRule="exact"/>
        <w:ind w:firstLineChars="200" w:firstLine="640"/>
        <w:rPr>
          <w:rFonts w:ascii="仿宋_GB2312" w:eastAsia="仿宋_GB2312" w:hAnsi="宋体"/>
          <w:sz w:val="32"/>
          <w:szCs w:val="32"/>
        </w:rPr>
      </w:pPr>
    </w:p>
    <w:p w:rsidR="006B7F21" w:rsidRPr="00065F52" w:rsidRDefault="006B7F21" w:rsidP="006B7F21">
      <w:pPr>
        <w:spacing w:line="560" w:lineRule="exact"/>
        <w:ind w:firstLineChars="200" w:firstLine="640"/>
        <w:rPr>
          <w:rFonts w:ascii="仿宋_GB2312" w:eastAsia="仿宋_GB2312" w:hAnsi="宋体"/>
          <w:sz w:val="32"/>
          <w:szCs w:val="32"/>
        </w:rPr>
      </w:pPr>
    </w:p>
    <w:p w:rsidR="006B7F21" w:rsidRPr="00065F52" w:rsidRDefault="006B7F21" w:rsidP="006B7F21">
      <w:pPr>
        <w:spacing w:line="560" w:lineRule="exact"/>
        <w:ind w:firstLineChars="200" w:firstLine="640"/>
        <w:rPr>
          <w:rFonts w:ascii="仿宋_GB2312" w:eastAsia="仿宋_GB2312" w:hAnsi="宋体"/>
          <w:sz w:val="32"/>
          <w:szCs w:val="32"/>
        </w:rPr>
      </w:pPr>
    </w:p>
    <w:p w:rsidR="006B7F21" w:rsidRPr="00065F52" w:rsidRDefault="006B7F21" w:rsidP="006B7F21">
      <w:pPr>
        <w:spacing w:line="560" w:lineRule="exact"/>
        <w:ind w:firstLineChars="200" w:firstLine="640"/>
        <w:rPr>
          <w:rFonts w:ascii="仿宋_GB2312" w:eastAsia="仿宋_GB2312" w:hAnsi="宋体"/>
          <w:sz w:val="32"/>
          <w:szCs w:val="32"/>
        </w:rPr>
      </w:pPr>
    </w:p>
    <w:p w:rsidR="006B7F21" w:rsidRPr="00065F52" w:rsidRDefault="006B7F21" w:rsidP="006B7F21">
      <w:pPr>
        <w:spacing w:line="560" w:lineRule="exact"/>
        <w:ind w:firstLineChars="200" w:firstLine="640"/>
        <w:rPr>
          <w:rFonts w:ascii="仿宋_GB2312" w:eastAsia="仿宋_GB2312" w:hAnsi="宋体"/>
          <w:sz w:val="32"/>
          <w:szCs w:val="32"/>
        </w:rPr>
      </w:pPr>
    </w:p>
    <w:p w:rsidR="006B7F21" w:rsidRPr="00065F52" w:rsidRDefault="006B7F21" w:rsidP="00682A8E">
      <w:pPr>
        <w:keepNext/>
        <w:keepLines/>
        <w:spacing w:line="578" w:lineRule="auto"/>
        <w:ind w:firstLineChars="200" w:firstLine="640"/>
        <w:outlineLvl w:val="0"/>
        <w:rPr>
          <w:rFonts w:ascii="黑体" w:eastAsia="黑体" w:hAnsi="黑体"/>
          <w:bCs/>
          <w:kern w:val="44"/>
          <w:sz w:val="32"/>
          <w:szCs w:val="32"/>
        </w:rPr>
      </w:pPr>
      <w:bookmarkStart w:id="84" w:name="_Toc36025661"/>
      <w:bookmarkStart w:id="85" w:name="_Toc36025685"/>
      <w:bookmarkStart w:id="86" w:name="_Toc36025847"/>
      <w:bookmarkStart w:id="87" w:name="_Toc36027095"/>
      <w:r w:rsidRPr="00065F52">
        <w:rPr>
          <w:rFonts w:ascii="黑体" w:eastAsia="黑体" w:hAnsi="黑体" w:hint="eastAsia"/>
          <w:bCs/>
          <w:kern w:val="44"/>
          <w:sz w:val="32"/>
          <w:szCs w:val="32"/>
        </w:rPr>
        <w:lastRenderedPageBreak/>
        <w:t>四、关于执行异议与执行异议之诉裁判的对策与建议</w:t>
      </w:r>
      <w:bookmarkEnd w:id="84"/>
      <w:bookmarkEnd w:id="85"/>
      <w:bookmarkEnd w:id="86"/>
      <w:bookmarkEnd w:id="87"/>
    </w:p>
    <w:p w:rsidR="006B7F21" w:rsidRPr="00065F52" w:rsidRDefault="006B7F21" w:rsidP="006B7F21">
      <w:pPr>
        <w:keepNext/>
        <w:keepLines/>
        <w:spacing w:line="416" w:lineRule="auto"/>
        <w:ind w:firstLineChars="200" w:firstLine="640"/>
        <w:outlineLvl w:val="1"/>
        <w:rPr>
          <w:rFonts w:ascii="楷体_GB2312" w:eastAsia="楷体_GB2312" w:hAnsi="宋体"/>
          <w:bCs/>
          <w:sz w:val="32"/>
          <w:szCs w:val="32"/>
        </w:rPr>
      </w:pPr>
      <w:bookmarkStart w:id="88" w:name="_Toc36025662"/>
      <w:bookmarkStart w:id="89" w:name="_Toc36025686"/>
      <w:bookmarkStart w:id="90" w:name="_Toc36025848"/>
      <w:bookmarkStart w:id="91" w:name="_Toc36027096"/>
      <w:r w:rsidRPr="00065F52">
        <w:rPr>
          <w:rFonts w:ascii="楷体_GB2312" w:eastAsia="楷体_GB2312" w:hAnsi="宋体" w:hint="eastAsia"/>
          <w:bCs/>
          <w:sz w:val="32"/>
          <w:szCs w:val="32"/>
        </w:rPr>
        <w:t>（一）完善裁判标准统一机制</w:t>
      </w:r>
      <w:bookmarkEnd w:id="88"/>
      <w:bookmarkEnd w:id="89"/>
      <w:bookmarkEnd w:id="90"/>
      <w:bookmarkEnd w:id="91"/>
    </w:p>
    <w:p w:rsidR="00682A8E" w:rsidRDefault="006B7F21" w:rsidP="00682A8E">
      <w:pPr>
        <w:spacing w:line="560" w:lineRule="exact"/>
        <w:ind w:left="640"/>
        <w:rPr>
          <w:rFonts w:ascii="仿宋_GB2312" w:eastAsia="仿宋_GB2312" w:hAnsi="宋体"/>
          <w:sz w:val="32"/>
          <w:szCs w:val="32"/>
        </w:rPr>
      </w:pPr>
      <w:r w:rsidRPr="00065F52">
        <w:rPr>
          <w:rFonts w:ascii="仿宋_GB2312" w:eastAsia="仿宋_GB2312" w:hAnsi="宋体" w:hint="eastAsia"/>
          <w:sz w:val="32"/>
          <w:szCs w:val="32"/>
        </w:rPr>
        <w:t>1.青岛中院民一庭与执一庭建立的联席会议机制</w:t>
      </w:r>
    </w:p>
    <w:p w:rsidR="006B7F21" w:rsidRPr="00065F52" w:rsidRDefault="006B7F21" w:rsidP="00682A8E">
      <w:pPr>
        <w:spacing w:line="560" w:lineRule="exact"/>
        <w:ind w:firstLineChars="200" w:firstLine="640"/>
        <w:rPr>
          <w:rFonts w:ascii="仿宋_GB2312" w:eastAsia="仿宋_GB2312" w:hAnsi="宋体"/>
          <w:sz w:val="32"/>
          <w:szCs w:val="32"/>
        </w:rPr>
      </w:pPr>
      <w:r w:rsidRPr="00065F52">
        <w:rPr>
          <w:rFonts w:ascii="仿宋_GB2312" w:eastAsia="仿宋_GB2312" w:hAnsi="宋体" w:hint="eastAsia"/>
          <w:sz w:val="32"/>
          <w:szCs w:val="32"/>
        </w:rPr>
        <w:t>执行异议之</w:t>
      </w:r>
      <w:proofErr w:type="gramStart"/>
      <w:r w:rsidRPr="00065F52">
        <w:rPr>
          <w:rFonts w:ascii="仿宋_GB2312" w:eastAsia="仿宋_GB2312" w:hAnsi="宋体" w:hint="eastAsia"/>
          <w:sz w:val="32"/>
          <w:szCs w:val="32"/>
        </w:rPr>
        <w:t>诉采取</w:t>
      </w:r>
      <w:proofErr w:type="gramEnd"/>
      <w:r w:rsidRPr="00065F52">
        <w:rPr>
          <w:rFonts w:ascii="仿宋_GB2312" w:eastAsia="仿宋_GB2312" w:hAnsi="宋体" w:hint="eastAsia"/>
          <w:sz w:val="32"/>
          <w:szCs w:val="32"/>
        </w:rPr>
        <w:t>一裁两审的诉讼模式，诉讼过程需先经过执行一庭的执行审查程序，当事人对执行裁决不服的，可以在法定期限内提起执行异议之诉。执行异议之诉在审判实践中的新问题不断涌现，且由于执行措施所针对的执行标的往往具有集中性，如某被执行人名下开发的同一小区内全部房产均被查封的情况，群体性案件的高发趋势已经较为明显。因此，面对执行异议之诉中的各类问题，执行一庭与民一庭应定期召开联席会议，及时沟通审判实践中出现的各类问题，做好裁判尺度统一工作及特殊案件预警工作等。联席会议每季度召开一次，遇到特殊情况需要即时沟通的，可立即联系召开。</w:t>
      </w:r>
    </w:p>
    <w:p w:rsidR="006B7F21" w:rsidRPr="00065F52" w:rsidRDefault="006B7F21" w:rsidP="006B7F21">
      <w:pPr>
        <w:spacing w:line="560" w:lineRule="exact"/>
        <w:ind w:firstLineChars="200" w:firstLine="640"/>
        <w:rPr>
          <w:rFonts w:ascii="仿宋_GB2312" w:eastAsia="仿宋_GB2312" w:hAnsi="宋体"/>
          <w:sz w:val="32"/>
          <w:szCs w:val="32"/>
        </w:rPr>
      </w:pPr>
      <w:r w:rsidRPr="00065F52">
        <w:rPr>
          <w:rFonts w:ascii="仿宋_GB2312" w:eastAsia="仿宋_GB2312" w:hAnsi="宋体" w:hint="eastAsia"/>
          <w:sz w:val="32"/>
          <w:szCs w:val="32"/>
        </w:rPr>
        <w:t>2.定期汇总裁判尺度形成会议纪要</w:t>
      </w:r>
    </w:p>
    <w:p w:rsidR="006B7F21" w:rsidRPr="00065F52" w:rsidRDefault="006B7F21" w:rsidP="00682A8E">
      <w:pPr>
        <w:spacing w:line="560" w:lineRule="exact"/>
        <w:ind w:firstLineChars="200" w:firstLine="640"/>
        <w:rPr>
          <w:rFonts w:ascii="仿宋_GB2312" w:eastAsia="仿宋_GB2312" w:hAnsi="宋体"/>
          <w:sz w:val="32"/>
          <w:szCs w:val="32"/>
        </w:rPr>
      </w:pPr>
      <w:r w:rsidRPr="00065F52">
        <w:rPr>
          <w:rFonts w:ascii="仿宋_GB2312" w:eastAsia="仿宋_GB2312" w:hAnsi="宋体" w:hint="eastAsia"/>
          <w:sz w:val="32"/>
          <w:szCs w:val="32"/>
        </w:rPr>
        <w:t>裁判尺度统一问题，是司法审判中极为重要的问题。民商事案件的裁判结果，是法官根据案件查明的法律事实，根据法律相应规定做出的认定。法律在广义上属于社会学科。一个案件的裁判结果涉及法官对案件事实的认定、对裁判结果的认知。案件审理过程中，会受到法官个人工作经验、生活经验、知识积累、认知水平、理解能力等诸多方面的影响。而对于同一问题的认识，在法理层面上也会存在不同的理解和不同的解决路径，因此，司法实践中同案不同判的情况时常存在。但是同类案件出现不同的裁量结果，会对司法的权</w:t>
      </w:r>
      <w:r w:rsidRPr="00065F52">
        <w:rPr>
          <w:rFonts w:ascii="仿宋_GB2312" w:eastAsia="仿宋_GB2312" w:hAnsi="宋体" w:hint="eastAsia"/>
          <w:sz w:val="32"/>
          <w:szCs w:val="32"/>
        </w:rPr>
        <w:lastRenderedPageBreak/>
        <w:t>威性构成损害，尤其是同一个案件在不同程序中做出不同的认定，更会使当事人产生疑惑。</w:t>
      </w:r>
    </w:p>
    <w:p w:rsidR="006B7F21" w:rsidRPr="00065F52" w:rsidRDefault="006B7F21" w:rsidP="00254308">
      <w:pPr>
        <w:spacing w:line="560" w:lineRule="exact"/>
        <w:ind w:firstLineChars="200" w:firstLine="640"/>
        <w:rPr>
          <w:rFonts w:ascii="仿宋_GB2312" w:eastAsia="仿宋_GB2312" w:hAnsi="宋体"/>
          <w:sz w:val="32"/>
          <w:szCs w:val="32"/>
        </w:rPr>
      </w:pPr>
      <w:r w:rsidRPr="00065F52">
        <w:rPr>
          <w:rFonts w:ascii="仿宋_GB2312" w:eastAsia="仿宋_GB2312" w:hAnsi="宋体" w:hint="eastAsia"/>
          <w:sz w:val="32"/>
          <w:szCs w:val="32"/>
        </w:rPr>
        <w:t>执行异议之诉在审查过程中涉及到执行中的执行审查程序和执行异议之诉程序。根据现有的诉讼程序规定，执行部门的执行审查程序以形式审查为主，审判部门的审查标准则以实体审查为主，但无论是形式审查还是实体审查，对同一类型的执行异议之诉必须统一审查标准，明确裁判尺度。尤其是执行异议之诉中的各类新型案件较多，民一庭与执行一庭在定期召开联席会议的基础上，对执行异议之诉中的各类问题集中汇总研讨，对于每次联席会议达成的一致意见，形成会议纪要，统一裁判尺度。</w:t>
      </w:r>
    </w:p>
    <w:p w:rsidR="006B7F21" w:rsidRPr="00065F52" w:rsidRDefault="006B7F21" w:rsidP="006B7F21">
      <w:pPr>
        <w:spacing w:line="560" w:lineRule="exact"/>
        <w:ind w:firstLineChars="200" w:firstLine="640"/>
        <w:rPr>
          <w:rFonts w:ascii="仿宋_GB2312" w:eastAsia="仿宋_GB2312" w:hAnsi="宋体"/>
          <w:sz w:val="32"/>
          <w:szCs w:val="32"/>
        </w:rPr>
      </w:pPr>
      <w:r w:rsidRPr="00065F52">
        <w:rPr>
          <w:rFonts w:ascii="仿宋_GB2312" w:eastAsia="仿宋_GB2312" w:hAnsi="宋体" w:hint="eastAsia"/>
          <w:sz w:val="32"/>
          <w:szCs w:val="32"/>
        </w:rPr>
        <w:t>3.建立执行异议之</w:t>
      </w:r>
      <w:proofErr w:type="gramStart"/>
      <w:r w:rsidRPr="00065F52">
        <w:rPr>
          <w:rFonts w:ascii="仿宋_GB2312" w:eastAsia="仿宋_GB2312" w:hAnsi="宋体" w:hint="eastAsia"/>
          <w:sz w:val="32"/>
          <w:szCs w:val="32"/>
        </w:rPr>
        <w:t>诉典型</w:t>
      </w:r>
      <w:proofErr w:type="gramEnd"/>
      <w:r w:rsidRPr="00065F52">
        <w:rPr>
          <w:rFonts w:ascii="仿宋_GB2312" w:eastAsia="仿宋_GB2312" w:hAnsi="宋体" w:hint="eastAsia"/>
          <w:sz w:val="32"/>
          <w:szCs w:val="32"/>
        </w:rPr>
        <w:t>案例库</w:t>
      </w:r>
    </w:p>
    <w:p w:rsidR="006B7F21" w:rsidRPr="00065F52" w:rsidRDefault="006B7F21" w:rsidP="006B7F21">
      <w:pPr>
        <w:spacing w:line="560" w:lineRule="exact"/>
        <w:rPr>
          <w:rFonts w:ascii="仿宋_GB2312" w:eastAsia="仿宋_GB2312" w:hAnsi="宋体"/>
          <w:sz w:val="32"/>
          <w:szCs w:val="32"/>
        </w:rPr>
      </w:pPr>
      <w:r w:rsidRPr="00065F52">
        <w:rPr>
          <w:rFonts w:ascii="仿宋_GB2312" w:eastAsia="仿宋_GB2312" w:hAnsi="宋体" w:hint="eastAsia"/>
          <w:sz w:val="32"/>
          <w:szCs w:val="32"/>
        </w:rPr>
        <w:t xml:space="preserve">    会议纪要的形成，对于统一案件裁判尺度具有重大的作用，但会议纪要的阐述方式与法律规定的形式基本一致，仍然存在叙述抽象性的问题，法官在适用过程中再行解读理解，仍可能会出现理解的偏差。而司法案例则可以鲜活、清晰、具体的体现法官对案件的裁判过程、对裁判标准的把握。因此，典型案例的整理工作，对于避免出现同案不同判的情况具有积极的补充作用。执行异议之诉的审理仍然处于探索发展的阶段，虽然各类司法解释、会议纪要等多有规定，但在裁判过程中对于裁判标准的适用仍不统一。因此，对于执行异议之诉案件中裁判标准已经明确的案件类型，应及时建立典型案件案例库，加强以案释法的司法功能，定期发布典型案例，确保裁判尺度适用的同一性。</w:t>
      </w:r>
    </w:p>
    <w:p w:rsidR="006B7F21" w:rsidRPr="00065F52" w:rsidRDefault="006B7F21" w:rsidP="006B7F21">
      <w:pPr>
        <w:keepNext/>
        <w:keepLines/>
        <w:spacing w:line="416" w:lineRule="auto"/>
        <w:ind w:firstLineChars="200" w:firstLine="640"/>
        <w:outlineLvl w:val="1"/>
        <w:rPr>
          <w:rFonts w:ascii="楷体_GB2312" w:eastAsia="楷体_GB2312" w:hAnsi="宋体"/>
          <w:bCs/>
          <w:color w:val="000000"/>
          <w:sz w:val="32"/>
          <w:szCs w:val="32"/>
        </w:rPr>
      </w:pPr>
      <w:bookmarkStart w:id="92" w:name="_Toc36025663"/>
      <w:bookmarkStart w:id="93" w:name="_Toc36025687"/>
      <w:bookmarkStart w:id="94" w:name="_Toc36025849"/>
      <w:bookmarkStart w:id="95" w:name="_Toc36027097"/>
      <w:r w:rsidRPr="00065F52">
        <w:rPr>
          <w:rFonts w:ascii="楷体_GB2312" w:eastAsia="楷体_GB2312" w:hAnsi="宋体" w:hint="eastAsia"/>
          <w:bCs/>
          <w:color w:val="000000"/>
          <w:sz w:val="32"/>
          <w:szCs w:val="32"/>
        </w:rPr>
        <w:lastRenderedPageBreak/>
        <w:t>（二）推进立审</w:t>
      </w:r>
      <w:proofErr w:type="gramStart"/>
      <w:r w:rsidRPr="00065F52">
        <w:rPr>
          <w:rFonts w:ascii="楷体_GB2312" w:eastAsia="楷体_GB2312" w:hAnsi="宋体" w:hint="eastAsia"/>
          <w:bCs/>
          <w:color w:val="000000"/>
          <w:sz w:val="32"/>
          <w:szCs w:val="32"/>
        </w:rPr>
        <w:t>执协调</w:t>
      </w:r>
      <w:proofErr w:type="gramEnd"/>
      <w:r w:rsidRPr="00065F52">
        <w:rPr>
          <w:rFonts w:ascii="楷体_GB2312" w:eastAsia="楷体_GB2312" w:hAnsi="宋体" w:hint="eastAsia"/>
          <w:bCs/>
          <w:color w:val="000000"/>
          <w:sz w:val="32"/>
          <w:szCs w:val="32"/>
        </w:rPr>
        <w:t>配合机制</w:t>
      </w:r>
      <w:bookmarkEnd w:id="92"/>
      <w:bookmarkEnd w:id="93"/>
      <w:bookmarkEnd w:id="94"/>
      <w:bookmarkEnd w:id="95"/>
    </w:p>
    <w:p w:rsidR="006B7F21" w:rsidRPr="00065F52" w:rsidRDefault="006B7F21" w:rsidP="006B7F21">
      <w:pPr>
        <w:spacing w:line="560" w:lineRule="exact"/>
        <w:ind w:firstLineChars="200" w:firstLine="640"/>
        <w:rPr>
          <w:rFonts w:ascii="仿宋_GB2312" w:eastAsia="仿宋_GB2312" w:hAnsi="宋体"/>
          <w:color w:val="000000"/>
          <w:sz w:val="32"/>
          <w:szCs w:val="32"/>
        </w:rPr>
      </w:pPr>
      <w:r w:rsidRPr="00065F52">
        <w:rPr>
          <w:rFonts w:ascii="仿宋_GB2312" w:eastAsia="仿宋_GB2312" w:hAnsi="宋体" w:hint="eastAsia"/>
          <w:color w:val="000000"/>
          <w:sz w:val="32"/>
          <w:szCs w:val="32"/>
        </w:rPr>
        <w:t>首先，应保证立案、审判、执行信息共享、信息对称。无论保全标的是在立案、审判还是执行阶段被采取保全措施，应实现保全申请与执行查控系统的信息共享和有序衔接。</w:t>
      </w:r>
    </w:p>
    <w:p w:rsidR="006B7F21" w:rsidRPr="00065F52" w:rsidRDefault="006B7F21" w:rsidP="006B7F21">
      <w:pPr>
        <w:spacing w:line="560" w:lineRule="exact"/>
        <w:ind w:firstLineChars="200" w:firstLine="640"/>
        <w:rPr>
          <w:rFonts w:ascii="仿宋_GB2312" w:eastAsia="仿宋_GB2312" w:hAnsi="宋体"/>
          <w:color w:val="000000"/>
          <w:sz w:val="32"/>
          <w:szCs w:val="32"/>
        </w:rPr>
      </w:pPr>
      <w:r w:rsidRPr="00065F52">
        <w:rPr>
          <w:rFonts w:ascii="仿宋_GB2312" w:eastAsia="仿宋_GB2312" w:hAnsi="宋体" w:hint="eastAsia"/>
          <w:color w:val="000000"/>
          <w:sz w:val="32"/>
          <w:szCs w:val="32"/>
        </w:rPr>
        <w:t>其次，在提高保全工作及时性的同时，也要保证保全工作的有效性。执行异议之诉的形成系由于被执行标的</w:t>
      </w:r>
      <w:proofErr w:type="gramStart"/>
      <w:r w:rsidRPr="00065F52">
        <w:rPr>
          <w:rFonts w:ascii="仿宋_GB2312" w:eastAsia="仿宋_GB2312" w:hAnsi="宋体" w:hint="eastAsia"/>
          <w:color w:val="000000"/>
          <w:sz w:val="32"/>
          <w:szCs w:val="32"/>
        </w:rPr>
        <w:t>的</w:t>
      </w:r>
      <w:proofErr w:type="gramEnd"/>
      <w:r w:rsidRPr="00065F52">
        <w:rPr>
          <w:rFonts w:ascii="仿宋_GB2312" w:eastAsia="仿宋_GB2312" w:hAnsi="宋体" w:hint="eastAsia"/>
          <w:color w:val="000000"/>
          <w:sz w:val="32"/>
          <w:szCs w:val="32"/>
        </w:rPr>
        <w:t>公示占有形式与实际权利所有的情况不一致而产生的。为避免这种情况的发生，保全部门在采取保全措施时应对被保全标的物的实际占有情况进行审查，不能仅仅依据行政部门的物权登记或备案情况判断保全标的是否能够采取保全措施。尤其是对不动产的查封，涉及到案外人的切身基本居住利益，不能仅仅依赖于查封系统的物权登记情况，仅对物权登记进行查封，还应当到不动产所在地审查不动产的实际占有情况，采取在不动产所在地张贴公告或采取封条查封的形式。以便于实际权利人在诉讼阶段就可及时发现权利受到侵害，及时提出执行异议，防止进入执行处置阶段再发生纠纷，导致执行程序中断，浪费诉讼成本，影响执行效率。对于存在纠纷的保全标的，要及时向申请保全</w:t>
      </w:r>
      <w:proofErr w:type="gramStart"/>
      <w:r w:rsidRPr="00065F52">
        <w:rPr>
          <w:rFonts w:ascii="仿宋_GB2312" w:eastAsia="仿宋_GB2312" w:hAnsi="宋体" w:hint="eastAsia"/>
          <w:color w:val="000000"/>
          <w:sz w:val="32"/>
          <w:szCs w:val="32"/>
        </w:rPr>
        <w:t>人释明采取</w:t>
      </w:r>
      <w:proofErr w:type="gramEnd"/>
      <w:r w:rsidRPr="00065F52">
        <w:rPr>
          <w:rFonts w:ascii="仿宋_GB2312" w:eastAsia="仿宋_GB2312" w:hAnsi="宋体" w:hint="eastAsia"/>
          <w:color w:val="000000"/>
          <w:sz w:val="32"/>
          <w:szCs w:val="32"/>
        </w:rPr>
        <w:t>保全措施的法律后果，引导申请保全人查询被申请人的其他无纠纷财产。</w:t>
      </w:r>
    </w:p>
    <w:p w:rsidR="006B7F21" w:rsidRPr="00065F52" w:rsidRDefault="006B7F21" w:rsidP="006B7F21">
      <w:pPr>
        <w:spacing w:line="560" w:lineRule="exact"/>
        <w:ind w:firstLineChars="200" w:firstLine="640"/>
        <w:rPr>
          <w:rFonts w:ascii="仿宋_GB2312" w:eastAsia="仿宋_GB2312" w:hAnsi="宋体"/>
          <w:color w:val="000000"/>
          <w:sz w:val="32"/>
          <w:szCs w:val="32"/>
        </w:rPr>
      </w:pPr>
      <w:r w:rsidRPr="00065F52">
        <w:rPr>
          <w:rFonts w:ascii="仿宋_GB2312" w:eastAsia="仿宋_GB2312" w:hAnsi="宋体" w:hint="eastAsia"/>
          <w:color w:val="000000"/>
          <w:sz w:val="32"/>
          <w:szCs w:val="32"/>
        </w:rPr>
        <w:t>第三，采取保全措施的业务部门应保持</w:t>
      </w:r>
      <w:proofErr w:type="gramStart"/>
      <w:r w:rsidRPr="00065F52">
        <w:rPr>
          <w:rFonts w:ascii="仿宋_GB2312" w:eastAsia="仿宋_GB2312" w:hAnsi="宋体" w:hint="eastAsia"/>
          <w:color w:val="000000"/>
          <w:sz w:val="32"/>
          <w:szCs w:val="32"/>
        </w:rPr>
        <w:t>一惯</w:t>
      </w:r>
      <w:proofErr w:type="gramEnd"/>
      <w:r w:rsidRPr="00065F52">
        <w:rPr>
          <w:rFonts w:ascii="仿宋_GB2312" w:eastAsia="仿宋_GB2312" w:hAnsi="宋体" w:hint="eastAsia"/>
          <w:color w:val="000000"/>
          <w:sz w:val="32"/>
          <w:szCs w:val="32"/>
        </w:rPr>
        <w:t>性、统一性。立案与审判部门对于保全申请，应根据案件标的及时出具保全裁定，但对于保全裁定的执行应由执行部门统一予以实施，对于可以查封的财产种类、数量均由执行部门统一判断。对保全标的提出执行行为异议的审查程序也应当由执行部门</w:t>
      </w:r>
      <w:r w:rsidRPr="00065F52">
        <w:rPr>
          <w:rFonts w:ascii="仿宋_GB2312" w:eastAsia="仿宋_GB2312" w:hAnsi="宋体" w:hint="eastAsia"/>
          <w:color w:val="000000"/>
          <w:sz w:val="32"/>
          <w:szCs w:val="32"/>
        </w:rPr>
        <w:lastRenderedPageBreak/>
        <w:t>负责，形成执行异议之诉的则按照民诉法规定的一裁两审程序进行审查。</w:t>
      </w:r>
    </w:p>
    <w:p w:rsidR="006B7F21" w:rsidRPr="00065F52" w:rsidRDefault="006B7F21" w:rsidP="006B7F21">
      <w:pPr>
        <w:spacing w:line="560" w:lineRule="exact"/>
        <w:ind w:firstLineChars="200" w:firstLine="640"/>
        <w:rPr>
          <w:rFonts w:ascii="仿宋_GB2312" w:eastAsia="仿宋_GB2312" w:hAnsi="宋体"/>
          <w:color w:val="000000"/>
          <w:sz w:val="32"/>
          <w:szCs w:val="32"/>
        </w:rPr>
      </w:pPr>
      <w:r w:rsidRPr="00065F52">
        <w:rPr>
          <w:rFonts w:ascii="仿宋_GB2312" w:eastAsia="仿宋_GB2312" w:hAnsi="宋体" w:hint="eastAsia"/>
          <w:color w:val="000000"/>
          <w:sz w:val="32"/>
          <w:szCs w:val="32"/>
        </w:rPr>
        <w:t>第四，熟悉保全工作的相关规定，采取保全措施的执行人员对于不能采取保全措施或限制采取保全措施的财产规定应当熟知，避免在采取保全措施之后又产生保全异议或执行异议。执行部门形成定期业务交流及培训工作机制，更新执行知识储备，保障执行工作开展。</w:t>
      </w:r>
    </w:p>
    <w:p w:rsidR="006B7F21" w:rsidRPr="00065F52" w:rsidRDefault="006B7F21" w:rsidP="006B7F21">
      <w:pPr>
        <w:spacing w:line="560" w:lineRule="exact"/>
        <w:ind w:firstLineChars="200" w:firstLine="640"/>
        <w:rPr>
          <w:rFonts w:ascii="仿宋_GB2312" w:eastAsia="仿宋_GB2312" w:hAnsi="宋体"/>
          <w:color w:val="000000"/>
          <w:sz w:val="32"/>
          <w:szCs w:val="32"/>
        </w:rPr>
      </w:pPr>
      <w:r w:rsidRPr="00065F52">
        <w:rPr>
          <w:rFonts w:ascii="仿宋_GB2312" w:eastAsia="仿宋_GB2312" w:hAnsi="宋体" w:hint="eastAsia"/>
          <w:color w:val="000000"/>
          <w:sz w:val="32"/>
          <w:szCs w:val="32"/>
        </w:rPr>
        <w:t>第五，压缩审判周期，提高审判效率。加强立案、审判、执行部门的三方联动，保证执行异议之诉一裁两审的诉讼程序在法定审理期间内及时审结。鉴于执行异议之诉中，被执行人多有</w:t>
      </w:r>
      <w:proofErr w:type="gramStart"/>
      <w:r w:rsidRPr="00065F52">
        <w:rPr>
          <w:rFonts w:ascii="仿宋_GB2312" w:eastAsia="仿宋_GB2312" w:hAnsi="宋体" w:hint="eastAsia"/>
          <w:color w:val="000000"/>
          <w:sz w:val="32"/>
          <w:szCs w:val="32"/>
        </w:rPr>
        <w:t>不</w:t>
      </w:r>
      <w:proofErr w:type="gramEnd"/>
      <w:r w:rsidRPr="00065F52">
        <w:rPr>
          <w:rFonts w:ascii="仿宋_GB2312" w:eastAsia="仿宋_GB2312" w:hAnsi="宋体" w:hint="eastAsia"/>
          <w:color w:val="000000"/>
          <w:sz w:val="32"/>
          <w:szCs w:val="32"/>
        </w:rPr>
        <w:t>到庭参加诉讼的情况，为</w:t>
      </w:r>
      <w:r w:rsidR="00021E1E">
        <w:rPr>
          <w:rFonts w:ascii="仿宋_GB2312" w:eastAsia="仿宋_GB2312" w:hAnsi="宋体" w:hint="eastAsia"/>
          <w:color w:val="000000"/>
          <w:sz w:val="32"/>
          <w:szCs w:val="32"/>
        </w:rPr>
        <w:t>缓解</w:t>
      </w:r>
      <w:r w:rsidRPr="00065F52">
        <w:rPr>
          <w:rFonts w:ascii="仿宋_GB2312" w:eastAsia="仿宋_GB2312" w:hAnsi="宋体" w:hint="eastAsia"/>
          <w:color w:val="000000"/>
          <w:sz w:val="32"/>
          <w:szCs w:val="32"/>
        </w:rPr>
        <w:t>因公告期间导致诉讼周期延长问题，建议采取以下措施：1、对于在执行审查中即未到庭的被执行人，不再进行公告；2、对于被执行人在执行程序中即无法查询其下落的，由执行部门对被执行人无法查明下落的</w:t>
      </w:r>
      <w:proofErr w:type="gramStart"/>
      <w:r w:rsidRPr="00065F52">
        <w:rPr>
          <w:rFonts w:ascii="仿宋_GB2312" w:eastAsia="仿宋_GB2312" w:hAnsi="宋体" w:hint="eastAsia"/>
          <w:color w:val="000000"/>
          <w:sz w:val="32"/>
          <w:szCs w:val="32"/>
        </w:rPr>
        <w:t>情况随卷附送</w:t>
      </w:r>
      <w:proofErr w:type="gramEnd"/>
      <w:r w:rsidRPr="00065F52">
        <w:rPr>
          <w:rFonts w:ascii="仿宋_GB2312" w:eastAsia="仿宋_GB2312" w:hAnsi="宋体" w:hint="eastAsia"/>
          <w:color w:val="000000"/>
          <w:sz w:val="32"/>
          <w:szCs w:val="32"/>
        </w:rPr>
        <w:t>说明，执行审查部门及审判部门不需再通知被执行人到庭参与诉讼；3、从案外人执行异议的举证逻辑规则及民诉讼法的法条规定分析，执行异议之诉的</w:t>
      </w:r>
      <w:proofErr w:type="gramStart"/>
      <w:r w:rsidRPr="00065F52">
        <w:rPr>
          <w:rFonts w:ascii="仿宋_GB2312" w:eastAsia="仿宋_GB2312" w:hAnsi="宋体" w:hint="eastAsia"/>
          <w:color w:val="000000"/>
          <w:sz w:val="32"/>
          <w:szCs w:val="32"/>
        </w:rPr>
        <w:t>举证责任由案外人</w:t>
      </w:r>
      <w:proofErr w:type="gramEnd"/>
      <w:r w:rsidRPr="00065F52">
        <w:rPr>
          <w:rFonts w:ascii="仿宋_GB2312" w:eastAsia="仿宋_GB2312" w:hAnsi="宋体" w:hint="eastAsia"/>
          <w:color w:val="000000"/>
          <w:sz w:val="32"/>
          <w:szCs w:val="32"/>
        </w:rPr>
        <w:t>承担，因此，执行异议之诉中被执行人是否到庭，</w:t>
      </w:r>
      <w:proofErr w:type="gramStart"/>
      <w:r w:rsidRPr="00065F52">
        <w:rPr>
          <w:rFonts w:ascii="仿宋_GB2312" w:eastAsia="仿宋_GB2312" w:hAnsi="宋体" w:hint="eastAsia"/>
          <w:color w:val="000000"/>
          <w:sz w:val="32"/>
          <w:szCs w:val="32"/>
        </w:rPr>
        <w:t>对于案</w:t>
      </w:r>
      <w:proofErr w:type="gramEnd"/>
      <w:r w:rsidRPr="00065F52">
        <w:rPr>
          <w:rFonts w:ascii="仿宋_GB2312" w:eastAsia="仿宋_GB2312" w:hAnsi="宋体" w:hint="eastAsia"/>
          <w:color w:val="000000"/>
          <w:sz w:val="32"/>
          <w:szCs w:val="32"/>
        </w:rPr>
        <w:t>外人主张实体权利的认定，实质影响不大。因此，为提高审判效率，可将被执行人身份视为不是必须参与诉讼的当事人，如果案件有需要核实的相应事实，再将被执行人追加进入诉讼。虽然，上述建议仍缺乏诉讼法方面的依据，但对于解决由于被执行人</w:t>
      </w:r>
      <w:proofErr w:type="gramStart"/>
      <w:r w:rsidRPr="00065F52">
        <w:rPr>
          <w:rFonts w:ascii="仿宋_GB2312" w:eastAsia="仿宋_GB2312" w:hAnsi="宋体" w:hint="eastAsia"/>
          <w:color w:val="000000"/>
          <w:sz w:val="32"/>
          <w:szCs w:val="32"/>
        </w:rPr>
        <w:t>不</w:t>
      </w:r>
      <w:proofErr w:type="gramEnd"/>
      <w:r w:rsidRPr="00065F52">
        <w:rPr>
          <w:rFonts w:ascii="仿宋_GB2312" w:eastAsia="仿宋_GB2312" w:hAnsi="宋体" w:hint="eastAsia"/>
          <w:color w:val="000000"/>
          <w:sz w:val="32"/>
          <w:szCs w:val="32"/>
        </w:rPr>
        <w:t>到庭而导致的诉讼周期延长的</w:t>
      </w:r>
      <w:r w:rsidR="00215451">
        <w:rPr>
          <w:rFonts w:ascii="仿宋_GB2312" w:eastAsia="仿宋_GB2312" w:hAnsi="宋体" w:hint="eastAsia"/>
          <w:color w:val="000000"/>
          <w:sz w:val="32"/>
          <w:szCs w:val="32"/>
        </w:rPr>
        <w:t>问题</w:t>
      </w:r>
      <w:r w:rsidRPr="00065F52">
        <w:rPr>
          <w:rFonts w:ascii="仿宋_GB2312" w:eastAsia="仿宋_GB2312" w:hAnsi="宋体" w:hint="eastAsia"/>
          <w:color w:val="000000"/>
          <w:sz w:val="32"/>
          <w:szCs w:val="32"/>
        </w:rPr>
        <w:t>，具有实际作用。</w:t>
      </w:r>
    </w:p>
    <w:p w:rsidR="006B7F21" w:rsidRPr="00065F52" w:rsidRDefault="006B7F21" w:rsidP="006B7F21">
      <w:pPr>
        <w:keepNext/>
        <w:keepLines/>
        <w:spacing w:line="416" w:lineRule="auto"/>
        <w:ind w:firstLineChars="200" w:firstLine="640"/>
        <w:outlineLvl w:val="1"/>
        <w:rPr>
          <w:rFonts w:ascii="楷体_GB2312" w:eastAsia="楷体_GB2312" w:hAnsi="宋体"/>
          <w:sz w:val="32"/>
          <w:szCs w:val="32"/>
        </w:rPr>
      </w:pPr>
      <w:bookmarkStart w:id="96" w:name="_Toc36025664"/>
      <w:bookmarkStart w:id="97" w:name="_Toc36025688"/>
      <w:bookmarkStart w:id="98" w:name="_Toc36025850"/>
      <w:bookmarkStart w:id="99" w:name="_Toc36027098"/>
      <w:r w:rsidRPr="00065F52">
        <w:rPr>
          <w:rFonts w:ascii="楷体_GB2312" w:eastAsia="楷体_GB2312" w:hAnsi="宋体" w:hint="eastAsia"/>
          <w:bCs/>
          <w:sz w:val="32"/>
          <w:szCs w:val="32"/>
        </w:rPr>
        <w:lastRenderedPageBreak/>
        <w:t>（三）虚假诉讼的规制与责任</w:t>
      </w:r>
      <w:bookmarkEnd w:id="96"/>
      <w:bookmarkEnd w:id="97"/>
      <w:bookmarkEnd w:id="98"/>
      <w:bookmarkEnd w:id="99"/>
    </w:p>
    <w:p w:rsidR="006B7F21" w:rsidRPr="00065F52" w:rsidRDefault="006B7F21" w:rsidP="006B7F21">
      <w:pPr>
        <w:spacing w:line="560" w:lineRule="exact"/>
        <w:ind w:firstLineChars="200" w:firstLine="640"/>
        <w:rPr>
          <w:rFonts w:ascii="仿宋_GB2312" w:eastAsia="仿宋_GB2312"/>
          <w:sz w:val="32"/>
          <w:szCs w:val="32"/>
        </w:rPr>
      </w:pPr>
      <w:r w:rsidRPr="00065F52">
        <w:rPr>
          <w:rFonts w:ascii="仿宋_GB2312" w:eastAsia="仿宋_GB2312" w:hint="eastAsia"/>
          <w:sz w:val="32"/>
          <w:szCs w:val="32"/>
        </w:rPr>
        <w:t>受社会诚信体系缺失等多种因素影响，司法领域尤其是民商事审判中，利用虚假诉讼规避责任、侵害其他债权人利益的情况</w:t>
      </w:r>
      <w:r w:rsidR="001E746D" w:rsidRPr="00ED6878">
        <w:rPr>
          <w:rFonts w:ascii="仿宋_GB2312" w:eastAsia="仿宋_GB2312" w:hint="eastAsia"/>
          <w:sz w:val="32"/>
          <w:szCs w:val="32"/>
        </w:rPr>
        <w:t>较为</w:t>
      </w:r>
      <w:r w:rsidRPr="00ED6878">
        <w:rPr>
          <w:rFonts w:ascii="仿宋_GB2312" w:eastAsia="仿宋_GB2312" w:hint="eastAsia"/>
          <w:sz w:val="32"/>
          <w:szCs w:val="32"/>
        </w:rPr>
        <w:t>严重</w:t>
      </w:r>
      <w:r w:rsidRPr="00065F52">
        <w:rPr>
          <w:rFonts w:ascii="仿宋_GB2312" w:eastAsia="仿宋_GB2312" w:hint="eastAsia"/>
          <w:sz w:val="32"/>
          <w:szCs w:val="32"/>
        </w:rPr>
        <w:t>。执行异议之诉案件在民商事案件中的比例呈急速上升态势，虚假诉讼在此类案件中的分布又较为广泛，因此，对于执行异议之诉中虚假诉讼的防范与规制需要着重加强。</w:t>
      </w:r>
    </w:p>
    <w:p w:rsidR="006B7F21" w:rsidRPr="00065F52" w:rsidRDefault="006B7F21" w:rsidP="006B7F21">
      <w:pPr>
        <w:spacing w:line="560" w:lineRule="exact"/>
        <w:ind w:firstLineChars="200" w:firstLine="640"/>
        <w:rPr>
          <w:rFonts w:ascii="仿宋_GB2312" w:eastAsia="仿宋_GB2312"/>
          <w:sz w:val="32"/>
          <w:szCs w:val="32"/>
        </w:rPr>
      </w:pPr>
      <w:r w:rsidRPr="00065F52">
        <w:rPr>
          <w:rFonts w:ascii="仿宋_GB2312" w:eastAsia="仿宋_GB2312" w:hint="eastAsia"/>
          <w:sz w:val="32"/>
          <w:szCs w:val="32"/>
        </w:rPr>
        <w:t>虚假诉讼的认定往往陷入困境。当事人之间以恶意串通的方式，借助民事诉讼的方式，制造虚假的债权债务关系无须公示，第三人很难识别。民事诉讼仅赋予法官对于民事案件的一般调查权，因此，认定虚假诉讼的取证难度较大。法官通过心证认为存在虚假诉讼的可能性，但在没有比较确切证据的情况下，法院仍要针对当事人的诉讼请求进行处理。民事审判采取当事人主义，尊重当事人的意思自治，对当事人互相自认的行为，法院一般不予否定。因此，虚假诉讼双方当事人互相串通、虚构事实与证据，从表面上达到事实清楚、证据充分的标准，法官在审查案件事实和法律关系的真实性方面就存在阻碍。即便案件存有疑点也往往因为证据不足而无法直接认定为虚假诉讼。而且，法院之间信息的共享性、对称性尚不完善，无法快速了解其他法院案件受理、审理情况，法院系统与检察机关、公安机关等部门也缺乏信息共享平台，法官不能完全掌握当事人的财产状况、信用记录、违法犯罪历史等记录，导致虚假诉讼在司法审判中的存在空间较大。</w:t>
      </w:r>
    </w:p>
    <w:p w:rsidR="006B7F21" w:rsidRPr="00065F52" w:rsidRDefault="006B7F21" w:rsidP="006B7F21">
      <w:pPr>
        <w:spacing w:line="560" w:lineRule="exact"/>
        <w:ind w:firstLineChars="200" w:firstLine="640"/>
        <w:rPr>
          <w:rFonts w:ascii="仿宋_GB2312" w:eastAsia="仿宋_GB2312" w:hAnsi="宋体"/>
          <w:sz w:val="32"/>
          <w:szCs w:val="32"/>
        </w:rPr>
      </w:pPr>
      <w:r w:rsidRPr="00065F52">
        <w:rPr>
          <w:rFonts w:ascii="仿宋_GB2312" w:eastAsia="仿宋_GB2312" w:hAnsi="宋体" w:hint="eastAsia"/>
          <w:sz w:val="32"/>
          <w:szCs w:val="32"/>
        </w:rPr>
        <w:lastRenderedPageBreak/>
        <w:t>现有的诉讼法体系，虽然对虚假诉讼的制裁做出相应的规定，但虚假诉讼的成本小、获利大，现有的司法环境下，罚款、拘留的处罚手段适用空间小，法院对虚假诉讼的处罚，与当事人的身份、名誉、信誉等社会评价尚不挂钩，制裁的威慑力尚不足以遏制虚假诉讼的态势，尚待进一步完善。</w:t>
      </w:r>
    </w:p>
    <w:p w:rsidR="006B7F21" w:rsidRPr="00065F52" w:rsidRDefault="006B7F21" w:rsidP="006B7F21">
      <w:pPr>
        <w:spacing w:line="560" w:lineRule="exact"/>
        <w:ind w:firstLineChars="200" w:firstLine="640"/>
        <w:rPr>
          <w:rFonts w:ascii="仿宋_GB2312" w:eastAsia="仿宋_GB2312" w:hAnsi="宋体"/>
          <w:sz w:val="32"/>
          <w:szCs w:val="32"/>
        </w:rPr>
      </w:pPr>
      <w:r w:rsidRPr="00065F52">
        <w:rPr>
          <w:rFonts w:ascii="仿宋_GB2312" w:eastAsia="仿宋_GB2312" w:hAnsi="宋体" w:hint="eastAsia"/>
          <w:sz w:val="32"/>
          <w:szCs w:val="32"/>
        </w:rPr>
        <w:t>1.民事责任。对虚假诉讼参与人，要适度加大罚款、拘留等妨碍民事诉讼强制措施的法律适用力度；虚假诉讼侵害他人民事权益的，虚假诉讼参与人应当承担赔偿责任</w:t>
      </w:r>
      <w:r w:rsidR="001E746D">
        <w:rPr>
          <w:rFonts w:ascii="仿宋_GB2312" w:eastAsia="仿宋_GB2312" w:hAnsi="宋体" w:hint="eastAsia"/>
          <w:sz w:val="32"/>
          <w:szCs w:val="32"/>
        </w:rPr>
        <w:t>，</w:t>
      </w:r>
      <w:r w:rsidRPr="00065F52">
        <w:rPr>
          <w:rFonts w:ascii="仿宋_GB2312" w:eastAsia="仿宋_GB2312" w:hAnsi="宋体" w:hint="eastAsia"/>
          <w:sz w:val="32"/>
          <w:szCs w:val="32"/>
        </w:rPr>
        <w:t>人民法院审查执行异议之诉案件，须对证据加大审查力度，查明属于虚假诉讼的，原告申请撤诉不予准许，并应当根据《民事诉讼法》第</w:t>
      </w:r>
      <w:r w:rsidR="001E746D">
        <w:rPr>
          <w:rFonts w:ascii="仿宋_GB2312" w:eastAsia="仿宋_GB2312" w:hAnsi="宋体" w:hint="eastAsia"/>
          <w:sz w:val="32"/>
          <w:szCs w:val="32"/>
        </w:rPr>
        <w:t>一百一十二</w:t>
      </w:r>
      <w:r w:rsidRPr="00065F52">
        <w:rPr>
          <w:rFonts w:ascii="仿宋_GB2312" w:eastAsia="仿宋_GB2312" w:hAnsi="宋体" w:hint="eastAsia"/>
          <w:sz w:val="32"/>
          <w:szCs w:val="32"/>
        </w:rPr>
        <w:t>条的规定，驳回其请求。对尚不构成犯罪的虚假诉讼参与人，应根据《民事诉讼法》第</w:t>
      </w:r>
      <w:r w:rsidR="001E746D">
        <w:rPr>
          <w:rFonts w:ascii="仿宋_GB2312" w:eastAsia="仿宋_GB2312" w:hAnsi="宋体" w:hint="eastAsia"/>
          <w:sz w:val="32"/>
          <w:szCs w:val="32"/>
        </w:rPr>
        <w:t>一百一式五</w:t>
      </w:r>
      <w:r w:rsidRPr="00065F52">
        <w:rPr>
          <w:rFonts w:ascii="仿宋_GB2312" w:eastAsia="仿宋_GB2312" w:hAnsi="宋体" w:hint="eastAsia"/>
          <w:sz w:val="32"/>
          <w:szCs w:val="32"/>
        </w:rPr>
        <w:t>条的规定对其从重处罚。因虚假诉讼造成申请执行人损失的，人民法院可向申请</w:t>
      </w:r>
      <w:proofErr w:type="gramStart"/>
      <w:r w:rsidRPr="00065F52">
        <w:rPr>
          <w:rFonts w:ascii="仿宋_GB2312" w:eastAsia="仿宋_GB2312" w:hAnsi="宋体" w:hint="eastAsia"/>
          <w:sz w:val="32"/>
          <w:szCs w:val="32"/>
        </w:rPr>
        <w:t>执行人释明</w:t>
      </w:r>
      <w:proofErr w:type="gramEnd"/>
      <w:r w:rsidRPr="00065F52">
        <w:rPr>
          <w:rFonts w:ascii="仿宋_GB2312" w:eastAsia="仿宋_GB2312" w:hAnsi="宋体" w:hint="eastAsia"/>
          <w:sz w:val="32"/>
          <w:szCs w:val="32"/>
        </w:rPr>
        <w:t>，引导其另行提起诉讼，虚假诉讼参与人应当就其给申请执行人造成的损失承担赔偿责任。</w:t>
      </w:r>
    </w:p>
    <w:p w:rsidR="006B7F21" w:rsidRPr="00065F52" w:rsidRDefault="006B7F21" w:rsidP="006B7F21">
      <w:pPr>
        <w:spacing w:line="560" w:lineRule="exact"/>
        <w:ind w:firstLineChars="200" w:firstLine="640"/>
        <w:rPr>
          <w:rFonts w:ascii="仿宋_GB2312" w:eastAsia="仿宋_GB2312" w:hAnsi="宋体"/>
          <w:sz w:val="32"/>
          <w:szCs w:val="32"/>
        </w:rPr>
      </w:pPr>
      <w:r w:rsidRPr="00065F52">
        <w:rPr>
          <w:rFonts w:ascii="仿宋_GB2312" w:eastAsia="仿宋_GB2312" w:hAnsi="宋体" w:hint="eastAsia"/>
          <w:sz w:val="32"/>
          <w:szCs w:val="32"/>
        </w:rPr>
        <w:t>2.刑事责任。虚假诉讼违法行为涉嫌虚假诉讼罪、诈骗罪、合同诈骗罪等刑事犯罪的，民事审判部门应当依法将相关线索和有关案件材料移送</w:t>
      </w:r>
      <w:proofErr w:type="gramStart"/>
      <w:r w:rsidRPr="00065F52">
        <w:rPr>
          <w:rFonts w:ascii="仿宋_GB2312" w:eastAsia="仿宋_GB2312" w:hAnsi="宋体" w:hint="eastAsia"/>
          <w:sz w:val="32"/>
          <w:szCs w:val="32"/>
        </w:rPr>
        <w:t>侦查机</w:t>
      </w:r>
      <w:proofErr w:type="gramEnd"/>
      <w:r w:rsidRPr="00065F52">
        <w:rPr>
          <w:rFonts w:ascii="仿宋_GB2312" w:eastAsia="仿宋_GB2312" w:hAnsi="宋体" w:hint="eastAsia"/>
          <w:sz w:val="32"/>
          <w:szCs w:val="32"/>
        </w:rPr>
        <w:t>关。</w:t>
      </w:r>
    </w:p>
    <w:p w:rsidR="006B7F21" w:rsidRPr="00065F52" w:rsidRDefault="006B7F21" w:rsidP="006B7F21">
      <w:pPr>
        <w:spacing w:line="560" w:lineRule="exact"/>
        <w:ind w:firstLineChars="200" w:firstLine="640"/>
        <w:rPr>
          <w:rFonts w:ascii="仿宋_GB2312" w:eastAsia="仿宋_GB2312" w:hAnsi="宋体"/>
          <w:sz w:val="32"/>
          <w:szCs w:val="32"/>
        </w:rPr>
      </w:pPr>
      <w:r w:rsidRPr="00065F52">
        <w:rPr>
          <w:rFonts w:ascii="仿宋_GB2312" w:eastAsia="仿宋_GB2312" w:hAnsi="宋体"/>
          <w:sz w:val="32"/>
          <w:szCs w:val="32"/>
        </w:rPr>
        <w:t>3.</w:t>
      </w:r>
      <w:r w:rsidRPr="00065F52">
        <w:rPr>
          <w:rFonts w:ascii="仿宋_GB2312" w:eastAsia="仿宋_GB2312" w:hAnsi="宋体" w:hint="eastAsia"/>
          <w:sz w:val="32"/>
          <w:szCs w:val="32"/>
        </w:rPr>
        <w:t>诉讼代理人参与虚假诉讼的责任。除依法予以制裁、承担民事赔偿责任外，人民法院还应当向司法行政部门、律师协会或行业协会发出司法建议；鉴定机构、鉴定人参与虚假诉讼的，除依法予以制裁、承担民事赔偿责任外，还应责令其退还鉴定费用、从法院委托鉴定专业机构备选名单中除</w:t>
      </w:r>
      <w:r w:rsidRPr="00065F52">
        <w:rPr>
          <w:rFonts w:ascii="仿宋_GB2312" w:eastAsia="仿宋_GB2312" w:hAnsi="宋体" w:hint="eastAsia"/>
          <w:sz w:val="32"/>
          <w:szCs w:val="32"/>
        </w:rPr>
        <w:lastRenderedPageBreak/>
        <w:t>名，同时人民法院应当向司法行政部门或者行业协会发出司法建议。</w:t>
      </w:r>
    </w:p>
    <w:p w:rsidR="006B7F21" w:rsidRPr="00065F52" w:rsidRDefault="006B7F21" w:rsidP="006B7F21">
      <w:pPr>
        <w:spacing w:line="560" w:lineRule="exact"/>
        <w:ind w:firstLineChars="200" w:firstLine="640"/>
        <w:rPr>
          <w:rFonts w:ascii="仿宋_GB2312" w:eastAsia="仿宋_GB2312" w:hAnsi="宋体"/>
          <w:sz w:val="32"/>
          <w:szCs w:val="32"/>
        </w:rPr>
      </w:pPr>
      <w:r w:rsidRPr="00065F52">
        <w:rPr>
          <w:rFonts w:ascii="仿宋_GB2312" w:eastAsia="仿宋_GB2312" w:hAnsi="宋体"/>
          <w:sz w:val="32"/>
          <w:szCs w:val="32"/>
        </w:rPr>
        <w:t>4.</w:t>
      </w:r>
      <w:r w:rsidRPr="00065F52">
        <w:rPr>
          <w:rFonts w:ascii="仿宋_GB2312" w:eastAsia="仿宋_GB2312" w:hAnsi="宋体" w:hint="eastAsia"/>
          <w:sz w:val="32"/>
          <w:szCs w:val="32"/>
        </w:rPr>
        <w:t>探索建立虚假诉讼失信人名单制度。将虚假诉讼参与人列入失信人名单，逐步开展与现有相关信息平台和社会信用体系接轨工作，加大制裁力度。针对执行异议中的虚假诉讼参与人，人民法院应当建立虚假诉讼失信人名单制度，将此类虚假诉讼参与人列入失信人名单，定期向社会公布。</w:t>
      </w:r>
    </w:p>
    <w:p w:rsidR="00E07526" w:rsidRPr="00065F52" w:rsidRDefault="00E07526" w:rsidP="00FC5571">
      <w:pPr>
        <w:spacing w:line="560" w:lineRule="exact"/>
        <w:jc w:val="center"/>
        <w:rPr>
          <w:rFonts w:asciiTheme="minorEastAsia" w:eastAsiaTheme="minorEastAsia" w:hAnsiTheme="minorEastAsia"/>
          <w:sz w:val="32"/>
          <w:szCs w:val="32"/>
        </w:rPr>
      </w:pPr>
    </w:p>
    <w:p w:rsidR="00E07526" w:rsidRPr="00065F52" w:rsidRDefault="00E07526" w:rsidP="00FC5571">
      <w:pPr>
        <w:spacing w:line="560" w:lineRule="exact"/>
        <w:jc w:val="center"/>
        <w:rPr>
          <w:rFonts w:asciiTheme="minorEastAsia" w:eastAsiaTheme="minorEastAsia" w:hAnsiTheme="minorEastAsia"/>
          <w:sz w:val="32"/>
          <w:szCs w:val="32"/>
        </w:rPr>
      </w:pPr>
    </w:p>
    <w:p w:rsidR="00E07526" w:rsidRPr="00065F52" w:rsidRDefault="00E07526" w:rsidP="00FC5571">
      <w:pPr>
        <w:spacing w:line="560" w:lineRule="exact"/>
        <w:jc w:val="center"/>
        <w:rPr>
          <w:rFonts w:asciiTheme="minorEastAsia" w:eastAsiaTheme="minorEastAsia" w:hAnsiTheme="minorEastAsia"/>
          <w:sz w:val="32"/>
          <w:szCs w:val="32"/>
        </w:rPr>
      </w:pPr>
    </w:p>
    <w:p w:rsidR="00E07526" w:rsidRPr="00065F52" w:rsidRDefault="00E07526" w:rsidP="00FC5571">
      <w:pPr>
        <w:spacing w:line="560" w:lineRule="exact"/>
        <w:jc w:val="center"/>
        <w:rPr>
          <w:rFonts w:asciiTheme="minorEastAsia" w:eastAsiaTheme="minorEastAsia" w:hAnsiTheme="minorEastAsia"/>
          <w:sz w:val="32"/>
          <w:szCs w:val="32"/>
        </w:rPr>
      </w:pPr>
    </w:p>
    <w:p w:rsidR="00E07526" w:rsidRPr="00065F52" w:rsidRDefault="00E07526" w:rsidP="00FC5571">
      <w:pPr>
        <w:spacing w:line="560" w:lineRule="exact"/>
        <w:jc w:val="center"/>
        <w:rPr>
          <w:rFonts w:asciiTheme="minorEastAsia" w:eastAsiaTheme="minorEastAsia" w:hAnsiTheme="minorEastAsia"/>
          <w:sz w:val="32"/>
          <w:szCs w:val="32"/>
        </w:rPr>
      </w:pPr>
    </w:p>
    <w:p w:rsidR="00E07526" w:rsidRPr="00065F52" w:rsidRDefault="00E07526" w:rsidP="00FC5571">
      <w:pPr>
        <w:spacing w:line="560" w:lineRule="exact"/>
        <w:jc w:val="center"/>
        <w:rPr>
          <w:rFonts w:asciiTheme="minorEastAsia" w:eastAsiaTheme="minorEastAsia" w:hAnsiTheme="minorEastAsia"/>
          <w:sz w:val="32"/>
          <w:szCs w:val="32"/>
        </w:rPr>
      </w:pPr>
    </w:p>
    <w:p w:rsidR="00E07526" w:rsidRPr="00065F52" w:rsidRDefault="00E07526" w:rsidP="00FC5571">
      <w:pPr>
        <w:spacing w:line="560" w:lineRule="exact"/>
        <w:jc w:val="center"/>
        <w:rPr>
          <w:rFonts w:asciiTheme="minorEastAsia" w:eastAsiaTheme="minorEastAsia" w:hAnsiTheme="minorEastAsia"/>
          <w:sz w:val="32"/>
          <w:szCs w:val="32"/>
        </w:rPr>
      </w:pPr>
    </w:p>
    <w:p w:rsidR="00E07526" w:rsidRPr="00065F52" w:rsidRDefault="00E07526" w:rsidP="00FC5571">
      <w:pPr>
        <w:spacing w:line="560" w:lineRule="exact"/>
        <w:jc w:val="center"/>
        <w:rPr>
          <w:rFonts w:asciiTheme="minorEastAsia" w:eastAsiaTheme="minorEastAsia" w:hAnsiTheme="minorEastAsia"/>
          <w:sz w:val="32"/>
          <w:szCs w:val="32"/>
        </w:rPr>
      </w:pPr>
    </w:p>
    <w:p w:rsidR="00E07526" w:rsidRPr="00065F52" w:rsidRDefault="00E07526" w:rsidP="00FC5571">
      <w:pPr>
        <w:spacing w:line="560" w:lineRule="exact"/>
        <w:jc w:val="center"/>
        <w:rPr>
          <w:rFonts w:asciiTheme="minorEastAsia" w:eastAsiaTheme="minorEastAsia" w:hAnsiTheme="minorEastAsia"/>
          <w:sz w:val="32"/>
          <w:szCs w:val="32"/>
        </w:rPr>
      </w:pPr>
    </w:p>
    <w:p w:rsidR="00E07526" w:rsidRPr="00065F52" w:rsidRDefault="00E07526" w:rsidP="00FC5571">
      <w:pPr>
        <w:spacing w:line="560" w:lineRule="exact"/>
        <w:jc w:val="center"/>
        <w:rPr>
          <w:rFonts w:asciiTheme="minorEastAsia" w:eastAsiaTheme="minorEastAsia" w:hAnsiTheme="minorEastAsia"/>
          <w:sz w:val="32"/>
          <w:szCs w:val="32"/>
        </w:rPr>
      </w:pPr>
    </w:p>
    <w:p w:rsidR="00E07526" w:rsidRPr="00065F52" w:rsidRDefault="00E07526" w:rsidP="00FC5571">
      <w:pPr>
        <w:spacing w:line="560" w:lineRule="exact"/>
        <w:jc w:val="center"/>
        <w:rPr>
          <w:rFonts w:asciiTheme="minorEastAsia" w:eastAsiaTheme="minorEastAsia" w:hAnsiTheme="minorEastAsia"/>
          <w:sz w:val="32"/>
          <w:szCs w:val="32"/>
        </w:rPr>
      </w:pPr>
    </w:p>
    <w:p w:rsidR="00E07526" w:rsidRPr="00065F52" w:rsidRDefault="00E07526" w:rsidP="00FC5571">
      <w:pPr>
        <w:spacing w:line="560" w:lineRule="exact"/>
        <w:jc w:val="center"/>
        <w:rPr>
          <w:rFonts w:asciiTheme="minorEastAsia" w:eastAsiaTheme="minorEastAsia" w:hAnsiTheme="minorEastAsia"/>
          <w:sz w:val="32"/>
          <w:szCs w:val="32"/>
        </w:rPr>
      </w:pPr>
    </w:p>
    <w:p w:rsidR="00E07526" w:rsidRPr="00065F52" w:rsidRDefault="00E07526" w:rsidP="00FC5571">
      <w:pPr>
        <w:spacing w:line="560" w:lineRule="exact"/>
        <w:jc w:val="center"/>
        <w:rPr>
          <w:rFonts w:asciiTheme="minorEastAsia" w:eastAsiaTheme="minorEastAsia" w:hAnsiTheme="minorEastAsia"/>
          <w:sz w:val="32"/>
          <w:szCs w:val="32"/>
        </w:rPr>
      </w:pPr>
    </w:p>
    <w:p w:rsidR="00E07526" w:rsidRPr="00065F52" w:rsidRDefault="00E07526" w:rsidP="00FC5571">
      <w:pPr>
        <w:spacing w:line="560" w:lineRule="exact"/>
        <w:jc w:val="center"/>
        <w:rPr>
          <w:rFonts w:asciiTheme="minorEastAsia" w:eastAsiaTheme="minorEastAsia" w:hAnsiTheme="minorEastAsia"/>
          <w:sz w:val="32"/>
          <w:szCs w:val="32"/>
        </w:rPr>
      </w:pPr>
    </w:p>
    <w:p w:rsidR="00E07526" w:rsidRPr="00065F52" w:rsidRDefault="00E07526" w:rsidP="00FC5571">
      <w:pPr>
        <w:spacing w:line="560" w:lineRule="exact"/>
        <w:jc w:val="center"/>
        <w:rPr>
          <w:rFonts w:asciiTheme="minorEastAsia" w:eastAsiaTheme="minorEastAsia" w:hAnsiTheme="minorEastAsia"/>
          <w:sz w:val="32"/>
          <w:szCs w:val="32"/>
        </w:rPr>
      </w:pPr>
    </w:p>
    <w:p w:rsidR="00E07526" w:rsidRPr="00065F52" w:rsidRDefault="00E07526" w:rsidP="00FC5571">
      <w:pPr>
        <w:spacing w:line="560" w:lineRule="exact"/>
        <w:jc w:val="center"/>
        <w:rPr>
          <w:rFonts w:asciiTheme="minorEastAsia" w:eastAsiaTheme="minorEastAsia" w:hAnsiTheme="minorEastAsia"/>
          <w:sz w:val="32"/>
          <w:szCs w:val="32"/>
        </w:rPr>
      </w:pPr>
    </w:p>
    <w:p w:rsidR="00E07526" w:rsidRPr="00065F52" w:rsidRDefault="00E07526" w:rsidP="00FC5571">
      <w:pPr>
        <w:spacing w:line="560" w:lineRule="exact"/>
        <w:jc w:val="center"/>
        <w:rPr>
          <w:rFonts w:asciiTheme="minorEastAsia" w:eastAsiaTheme="minorEastAsia" w:hAnsiTheme="minorEastAsia"/>
          <w:sz w:val="32"/>
          <w:szCs w:val="32"/>
        </w:rPr>
      </w:pPr>
    </w:p>
    <w:p w:rsidR="00E07526" w:rsidRPr="002E71C3" w:rsidRDefault="002E71C3" w:rsidP="00FC5571">
      <w:pPr>
        <w:spacing w:line="560" w:lineRule="exact"/>
        <w:jc w:val="center"/>
        <w:rPr>
          <w:rFonts w:ascii="方正小标宋简体" w:eastAsia="方正小标宋简体" w:hAnsi="宋体"/>
          <w:sz w:val="40"/>
          <w:szCs w:val="32"/>
        </w:rPr>
      </w:pPr>
      <w:r w:rsidRPr="002E71C3">
        <w:rPr>
          <w:rFonts w:ascii="方正小标宋简体" w:eastAsia="方正小标宋简体" w:hAnsi="宋体" w:hint="eastAsia"/>
          <w:sz w:val="40"/>
          <w:szCs w:val="32"/>
        </w:rPr>
        <w:lastRenderedPageBreak/>
        <w:t>青岛市中级人民法院</w:t>
      </w:r>
    </w:p>
    <w:p w:rsidR="00E07526" w:rsidRPr="00065F52" w:rsidRDefault="00E07526" w:rsidP="00E07526">
      <w:pPr>
        <w:spacing w:line="560" w:lineRule="exact"/>
        <w:jc w:val="center"/>
        <w:rPr>
          <w:rFonts w:ascii="方正小标宋简体" w:eastAsia="方正小标宋简体" w:hAnsi="宋体"/>
          <w:sz w:val="40"/>
          <w:szCs w:val="32"/>
        </w:rPr>
      </w:pPr>
      <w:r w:rsidRPr="00065F52">
        <w:rPr>
          <w:rFonts w:ascii="方正小标宋简体" w:eastAsia="方正小标宋简体" w:hAnsi="宋体" w:hint="eastAsia"/>
          <w:sz w:val="40"/>
          <w:szCs w:val="32"/>
        </w:rPr>
        <w:t>第三人撤销之诉审判白皮书</w:t>
      </w:r>
    </w:p>
    <w:p w:rsidR="00E07526" w:rsidRPr="00065F52" w:rsidRDefault="00E07526" w:rsidP="00E56330">
      <w:pPr>
        <w:spacing w:line="560" w:lineRule="exact"/>
        <w:rPr>
          <w:rStyle w:val="NormalCharacter"/>
          <w:rFonts w:ascii="仿宋_GB2312" w:eastAsia="仿宋_GB2312"/>
          <w:sz w:val="32"/>
        </w:rPr>
      </w:pPr>
    </w:p>
    <w:p w:rsidR="005B73D1" w:rsidRPr="00065F52" w:rsidRDefault="00E07526" w:rsidP="005B73D1">
      <w:pPr>
        <w:spacing w:line="560" w:lineRule="exact"/>
        <w:jc w:val="center"/>
        <w:rPr>
          <w:rStyle w:val="NormalCharacter"/>
          <w:rFonts w:ascii="仿宋_GB2312" w:eastAsia="仿宋_GB2312"/>
          <w:sz w:val="32"/>
        </w:rPr>
      </w:pPr>
      <w:r w:rsidRPr="00065F52">
        <w:rPr>
          <w:rStyle w:val="NormalCharacter"/>
          <w:rFonts w:ascii="仿宋_GB2312" w:eastAsia="仿宋_GB2312" w:hint="eastAsia"/>
          <w:sz w:val="32"/>
        </w:rPr>
        <w:t>目</w:t>
      </w:r>
      <w:r w:rsidR="00B81AAB">
        <w:rPr>
          <w:rStyle w:val="NormalCharacter"/>
          <w:rFonts w:ascii="仿宋_GB2312" w:eastAsia="仿宋_GB2312" w:hint="eastAsia"/>
          <w:sz w:val="32"/>
        </w:rPr>
        <w:t xml:space="preserve">  </w:t>
      </w:r>
      <w:bookmarkStart w:id="100" w:name="_GoBack"/>
      <w:bookmarkEnd w:id="100"/>
      <w:r w:rsidRPr="00065F52">
        <w:rPr>
          <w:rStyle w:val="NormalCharacter"/>
          <w:rFonts w:ascii="仿宋_GB2312" w:eastAsia="仿宋_GB2312" w:hint="eastAsia"/>
          <w:sz w:val="32"/>
        </w:rPr>
        <w:t>录</w:t>
      </w:r>
    </w:p>
    <w:p w:rsidR="005B73D1" w:rsidRPr="00065F52" w:rsidRDefault="005B73D1" w:rsidP="005B73D1">
      <w:pPr>
        <w:spacing w:line="560" w:lineRule="exact"/>
        <w:rPr>
          <w:rStyle w:val="NormalCharacter"/>
          <w:rFonts w:ascii="仿宋_GB2312" w:eastAsia="仿宋_GB2312"/>
          <w:sz w:val="32"/>
          <w:szCs w:val="32"/>
        </w:rPr>
      </w:pPr>
      <w:r w:rsidRPr="00065F52">
        <w:rPr>
          <w:rStyle w:val="NormalCharacter"/>
          <w:rFonts w:ascii="仿宋_GB2312" w:eastAsia="仿宋_GB2312" w:hint="eastAsia"/>
          <w:sz w:val="32"/>
          <w:szCs w:val="32"/>
        </w:rPr>
        <w:t>前言</w:t>
      </w:r>
    </w:p>
    <w:p w:rsidR="005B73D1" w:rsidRPr="00065F52" w:rsidRDefault="005B73D1" w:rsidP="005B73D1">
      <w:pPr>
        <w:spacing w:line="560" w:lineRule="exact"/>
        <w:rPr>
          <w:rStyle w:val="NormalCharacter"/>
          <w:rFonts w:ascii="仿宋_GB2312" w:eastAsia="仿宋_GB2312"/>
          <w:sz w:val="32"/>
          <w:szCs w:val="32"/>
        </w:rPr>
      </w:pPr>
      <w:r w:rsidRPr="00065F52">
        <w:rPr>
          <w:rStyle w:val="NormalCharacter"/>
          <w:rFonts w:ascii="仿宋_GB2312" w:eastAsia="仿宋_GB2312" w:hint="eastAsia"/>
          <w:sz w:val="32"/>
          <w:szCs w:val="32"/>
        </w:rPr>
        <w:t>第一章 第三人撤销之诉</w:t>
      </w:r>
      <w:proofErr w:type="gramStart"/>
      <w:r w:rsidRPr="00065F52">
        <w:rPr>
          <w:rStyle w:val="NormalCharacter"/>
          <w:rFonts w:ascii="仿宋_GB2312" w:eastAsia="仿宋_GB2312" w:hint="eastAsia"/>
          <w:sz w:val="32"/>
          <w:szCs w:val="32"/>
        </w:rPr>
        <w:t>纠纷审调概况</w:t>
      </w:r>
      <w:proofErr w:type="gramEnd"/>
    </w:p>
    <w:p w:rsidR="005B73D1" w:rsidRPr="00065F52" w:rsidRDefault="005B73D1" w:rsidP="005B73D1">
      <w:pPr>
        <w:spacing w:line="560" w:lineRule="exact"/>
        <w:rPr>
          <w:rStyle w:val="NormalCharacter"/>
          <w:rFonts w:ascii="仿宋_GB2312" w:eastAsia="仿宋_GB2312"/>
          <w:sz w:val="32"/>
          <w:szCs w:val="32"/>
        </w:rPr>
      </w:pPr>
      <w:r w:rsidRPr="00065F52">
        <w:rPr>
          <w:rStyle w:val="NormalCharacter"/>
          <w:rFonts w:ascii="仿宋_GB2312" w:eastAsia="仿宋_GB2312" w:hint="eastAsia"/>
          <w:sz w:val="32"/>
          <w:szCs w:val="32"/>
        </w:rPr>
        <w:t>一、全国第三人撤销之诉纠纷案件总体态势</w:t>
      </w:r>
      <w:r w:rsidRPr="00065F52">
        <w:rPr>
          <w:rStyle w:val="NormalCharacter"/>
          <w:rFonts w:ascii="仿宋_GB2312" w:eastAsia="仿宋_GB2312" w:hint="eastAsia"/>
          <w:sz w:val="32"/>
          <w:szCs w:val="32"/>
        </w:rPr>
        <w:tab/>
      </w:r>
    </w:p>
    <w:p w:rsidR="005B73D1" w:rsidRPr="00065F52" w:rsidRDefault="005B73D1" w:rsidP="005B73D1">
      <w:pPr>
        <w:spacing w:line="560" w:lineRule="exact"/>
        <w:rPr>
          <w:rStyle w:val="NormalCharacter"/>
          <w:rFonts w:ascii="仿宋_GB2312" w:eastAsia="仿宋_GB2312"/>
          <w:sz w:val="32"/>
          <w:szCs w:val="32"/>
        </w:rPr>
      </w:pPr>
      <w:r w:rsidRPr="00065F52">
        <w:rPr>
          <w:rStyle w:val="NormalCharacter"/>
          <w:rFonts w:ascii="仿宋_GB2312" w:eastAsia="仿宋_GB2312" w:hint="eastAsia"/>
          <w:sz w:val="32"/>
          <w:szCs w:val="32"/>
        </w:rPr>
        <w:t>二、青岛市第三人撤销之诉纠纷案件总体态势</w:t>
      </w:r>
      <w:r w:rsidRPr="00065F52">
        <w:rPr>
          <w:rStyle w:val="NormalCharacter"/>
          <w:rFonts w:ascii="仿宋_GB2312" w:eastAsia="仿宋_GB2312" w:hint="eastAsia"/>
          <w:sz w:val="32"/>
          <w:szCs w:val="32"/>
        </w:rPr>
        <w:tab/>
      </w:r>
    </w:p>
    <w:p w:rsidR="005B73D1" w:rsidRPr="00065F52" w:rsidRDefault="005B73D1" w:rsidP="005B73D1">
      <w:pPr>
        <w:spacing w:line="560" w:lineRule="exact"/>
        <w:rPr>
          <w:rStyle w:val="NormalCharacter"/>
          <w:rFonts w:ascii="仿宋_GB2312" w:eastAsia="仿宋_GB2312"/>
          <w:sz w:val="32"/>
          <w:szCs w:val="32"/>
        </w:rPr>
      </w:pPr>
      <w:r w:rsidRPr="00065F52">
        <w:rPr>
          <w:rStyle w:val="NormalCharacter"/>
          <w:rFonts w:ascii="仿宋_GB2312" w:eastAsia="仿宋_GB2312" w:hint="eastAsia"/>
          <w:sz w:val="32"/>
          <w:szCs w:val="32"/>
        </w:rPr>
        <w:t>第二章 第三人撤销之诉纠纷案件的特点</w:t>
      </w:r>
      <w:r w:rsidRPr="00065F52">
        <w:rPr>
          <w:rStyle w:val="NormalCharacter"/>
          <w:rFonts w:ascii="仿宋_GB2312" w:eastAsia="仿宋_GB2312" w:hint="eastAsia"/>
          <w:sz w:val="32"/>
          <w:szCs w:val="32"/>
        </w:rPr>
        <w:tab/>
      </w:r>
    </w:p>
    <w:p w:rsidR="005B73D1" w:rsidRPr="00065F52" w:rsidRDefault="005B73D1" w:rsidP="005B73D1">
      <w:pPr>
        <w:spacing w:line="560" w:lineRule="exact"/>
        <w:rPr>
          <w:rStyle w:val="NormalCharacter"/>
          <w:rFonts w:ascii="仿宋_GB2312" w:eastAsia="仿宋_GB2312"/>
          <w:sz w:val="32"/>
          <w:szCs w:val="32"/>
        </w:rPr>
      </w:pPr>
      <w:r w:rsidRPr="00065F52">
        <w:rPr>
          <w:rStyle w:val="NormalCharacter"/>
          <w:rFonts w:ascii="仿宋_GB2312" w:eastAsia="仿宋_GB2312" w:hint="eastAsia"/>
          <w:sz w:val="32"/>
          <w:szCs w:val="32"/>
        </w:rPr>
        <w:t>一、立案门槛高、审查标准严</w:t>
      </w:r>
      <w:r w:rsidRPr="00065F52">
        <w:rPr>
          <w:rStyle w:val="NormalCharacter"/>
          <w:rFonts w:ascii="仿宋_GB2312" w:eastAsia="仿宋_GB2312" w:hint="eastAsia"/>
          <w:sz w:val="32"/>
          <w:szCs w:val="32"/>
        </w:rPr>
        <w:tab/>
      </w:r>
    </w:p>
    <w:p w:rsidR="005B73D1" w:rsidRPr="00065F52" w:rsidRDefault="005B73D1" w:rsidP="005B73D1">
      <w:pPr>
        <w:spacing w:line="560" w:lineRule="exact"/>
        <w:rPr>
          <w:rStyle w:val="NormalCharacter"/>
          <w:rFonts w:ascii="仿宋_GB2312" w:eastAsia="仿宋_GB2312"/>
          <w:sz w:val="32"/>
          <w:szCs w:val="32"/>
        </w:rPr>
      </w:pPr>
      <w:r w:rsidRPr="00065F52">
        <w:rPr>
          <w:rStyle w:val="NormalCharacter"/>
          <w:rFonts w:ascii="仿宋_GB2312" w:eastAsia="仿宋_GB2312" w:hint="eastAsia"/>
          <w:sz w:val="32"/>
          <w:szCs w:val="32"/>
        </w:rPr>
        <w:t>二、启动程序和诉讼主体资格特定</w:t>
      </w:r>
      <w:r w:rsidRPr="00065F52">
        <w:rPr>
          <w:rStyle w:val="NormalCharacter"/>
          <w:rFonts w:ascii="仿宋_GB2312" w:eastAsia="仿宋_GB2312" w:hint="eastAsia"/>
          <w:sz w:val="32"/>
          <w:szCs w:val="32"/>
        </w:rPr>
        <w:tab/>
      </w:r>
    </w:p>
    <w:p w:rsidR="005B73D1" w:rsidRPr="00065F52" w:rsidRDefault="005B73D1" w:rsidP="005B73D1">
      <w:pPr>
        <w:spacing w:line="560" w:lineRule="exact"/>
        <w:rPr>
          <w:rStyle w:val="NormalCharacter"/>
          <w:rFonts w:ascii="仿宋_GB2312" w:eastAsia="仿宋_GB2312"/>
          <w:sz w:val="32"/>
          <w:szCs w:val="32"/>
        </w:rPr>
      </w:pPr>
      <w:r w:rsidRPr="00065F52">
        <w:rPr>
          <w:rStyle w:val="NormalCharacter"/>
          <w:rFonts w:ascii="仿宋_GB2312" w:eastAsia="仿宋_GB2312" w:hint="eastAsia"/>
          <w:sz w:val="32"/>
          <w:szCs w:val="32"/>
        </w:rPr>
        <w:t>三、管辖法院和起诉时间特定</w:t>
      </w:r>
      <w:r w:rsidRPr="00065F52">
        <w:rPr>
          <w:rStyle w:val="NormalCharacter"/>
          <w:rFonts w:ascii="仿宋_GB2312" w:eastAsia="仿宋_GB2312" w:hint="eastAsia"/>
          <w:sz w:val="32"/>
          <w:szCs w:val="32"/>
        </w:rPr>
        <w:tab/>
      </w:r>
    </w:p>
    <w:p w:rsidR="005B73D1" w:rsidRPr="00065F52" w:rsidRDefault="005B73D1" w:rsidP="005B73D1">
      <w:pPr>
        <w:spacing w:line="560" w:lineRule="exact"/>
        <w:rPr>
          <w:rStyle w:val="NormalCharacter"/>
          <w:rFonts w:ascii="仿宋_GB2312" w:eastAsia="仿宋_GB2312"/>
          <w:sz w:val="32"/>
          <w:szCs w:val="32"/>
        </w:rPr>
      </w:pPr>
      <w:r w:rsidRPr="00065F52">
        <w:rPr>
          <w:rStyle w:val="NormalCharacter"/>
          <w:rFonts w:ascii="仿宋_GB2312" w:eastAsia="仿宋_GB2312" w:hint="eastAsia"/>
          <w:sz w:val="32"/>
          <w:szCs w:val="32"/>
        </w:rPr>
        <w:t>四、权利救济更具终局性和彻底性</w:t>
      </w:r>
      <w:r w:rsidRPr="00065F52">
        <w:rPr>
          <w:rStyle w:val="NormalCharacter"/>
          <w:rFonts w:ascii="仿宋_GB2312" w:eastAsia="仿宋_GB2312" w:hint="eastAsia"/>
          <w:sz w:val="32"/>
          <w:szCs w:val="32"/>
        </w:rPr>
        <w:tab/>
      </w:r>
    </w:p>
    <w:p w:rsidR="005B73D1" w:rsidRPr="00065F52" w:rsidRDefault="005B73D1" w:rsidP="005B73D1">
      <w:pPr>
        <w:spacing w:line="560" w:lineRule="exact"/>
        <w:rPr>
          <w:rStyle w:val="NormalCharacter"/>
          <w:rFonts w:ascii="仿宋_GB2312" w:eastAsia="仿宋_GB2312"/>
          <w:sz w:val="32"/>
          <w:szCs w:val="32"/>
        </w:rPr>
      </w:pPr>
      <w:r w:rsidRPr="00065F52">
        <w:rPr>
          <w:rStyle w:val="NormalCharacter"/>
          <w:rFonts w:ascii="仿宋_GB2312" w:eastAsia="仿宋_GB2312" w:hint="eastAsia"/>
          <w:sz w:val="32"/>
          <w:szCs w:val="32"/>
        </w:rPr>
        <w:t>五、案件所涉领域广、专业性强，裁判尺度难统一</w:t>
      </w:r>
      <w:r w:rsidRPr="00065F52">
        <w:rPr>
          <w:rStyle w:val="NormalCharacter"/>
          <w:rFonts w:ascii="仿宋_GB2312" w:eastAsia="仿宋_GB2312" w:hint="eastAsia"/>
          <w:sz w:val="32"/>
          <w:szCs w:val="32"/>
        </w:rPr>
        <w:tab/>
      </w:r>
    </w:p>
    <w:p w:rsidR="005B73D1" w:rsidRPr="00065F52" w:rsidRDefault="005B73D1" w:rsidP="005B73D1">
      <w:pPr>
        <w:spacing w:line="560" w:lineRule="exact"/>
        <w:rPr>
          <w:rStyle w:val="NormalCharacter"/>
          <w:rFonts w:ascii="仿宋_GB2312" w:eastAsia="仿宋_GB2312"/>
          <w:sz w:val="32"/>
          <w:szCs w:val="32"/>
        </w:rPr>
      </w:pPr>
      <w:r w:rsidRPr="00065F52">
        <w:rPr>
          <w:rStyle w:val="NormalCharacter"/>
          <w:rFonts w:ascii="仿宋_GB2312" w:eastAsia="仿宋_GB2312" w:hint="eastAsia"/>
          <w:sz w:val="32"/>
          <w:szCs w:val="32"/>
        </w:rPr>
        <w:t>第三章</w:t>
      </w:r>
      <w:r w:rsidR="00AC3075">
        <w:rPr>
          <w:rStyle w:val="NormalCharacter"/>
          <w:rFonts w:ascii="仿宋_GB2312" w:eastAsia="仿宋_GB2312" w:hint="eastAsia"/>
          <w:sz w:val="32"/>
          <w:szCs w:val="32"/>
        </w:rPr>
        <w:t xml:space="preserve"> </w:t>
      </w:r>
      <w:r w:rsidRPr="00065F52">
        <w:rPr>
          <w:rStyle w:val="NormalCharacter"/>
          <w:rFonts w:ascii="仿宋_GB2312" w:eastAsia="仿宋_GB2312" w:hint="eastAsia"/>
          <w:sz w:val="32"/>
          <w:szCs w:val="32"/>
        </w:rPr>
        <w:t>第三人撤销之诉纠纷的主要处理原则</w:t>
      </w:r>
      <w:r w:rsidRPr="00065F52">
        <w:rPr>
          <w:rStyle w:val="NormalCharacter"/>
          <w:rFonts w:ascii="仿宋_GB2312" w:eastAsia="仿宋_GB2312" w:hint="eastAsia"/>
          <w:sz w:val="32"/>
          <w:szCs w:val="32"/>
        </w:rPr>
        <w:tab/>
      </w:r>
    </w:p>
    <w:p w:rsidR="005B73D1" w:rsidRPr="00065F52" w:rsidRDefault="005B73D1" w:rsidP="005B73D1">
      <w:pPr>
        <w:spacing w:line="560" w:lineRule="exact"/>
        <w:rPr>
          <w:rStyle w:val="NormalCharacter"/>
          <w:rFonts w:ascii="仿宋_GB2312" w:eastAsia="仿宋_GB2312"/>
          <w:sz w:val="32"/>
          <w:szCs w:val="32"/>
        </w:rPr>
      </w:pPr>
      <w:r w:rsidRPr="00065F52">
        <w:rPr>
          <w:rStyle w:val="NormalCharacter"/>
          <w:rFonts w:ascii="仿宋_GB2312" w:eastAsia="仿宋_GB2312" w:hint="eastAsia"/>
          <w:sz w:val="32"/>
          <w:szCs w:val="32"/>
        </w:rPr>
        <w:t>一、平衡保护、审慎处理原则</w:t>
      </w:r>
      <w:r w:rsidRPr="00065F52">
        <w:rPr>
          <w:rStyle w:val="NormalCharacter"/>
          <w:rFonts w:ascii="仿宋_GB2312" w:eastAsia="仿宋_GB2312" w:hint="eastAsia"/>
          <w:sz w:val="32"/>
          <w:szCs w:val="32"/>
        </w:rPr>
        <w:tab/>
      </w:r>
    </w:p>
    <w:p w:rsidR="005B73D1" w:rsidRPr="00065F52" w:rsidRDefault="005B73D1" w:rsidP="005B73D1">
      <w:pPr>
        <w:spacing w:line="560" w:lineRule="exact"/>
        <w:rPr>
          <w:rStyle w:val="NormalCharacter"/>
          <w:rFonts w:ascii="仿宋_GB2312" w:eastAsia="仿宋_GB2312"/>
          <w:sz w:val="32"/>
          <w:szCs w:val="32"/>
        </w:rPr>
      </w:pPr>
      <w:r w:rsidRPr="00065F52">
        <w:rPr>
          <w:rStyle w:val="NormalCharacter"/>
          <w:rFonts w:ascii="仿宋_GB2312" w:eastAsia="仿宋_GB2312" w:hint="eastAsia"/>
          <w:sz w:val="32"/>
          <w:szCs w:val="32"/>
        </w:rPr>
        <w:t>二、程序择</w:t>
      </w:r>
      <w:proofErr w:type="gramStart"/>
      <w:r w:rsidRPr="00065F52">
        <w:rPr>
          <w:rStyle w:val="NormalCharacter"/>
          <w:rFonts w:ascii="仿宋_GB2312" w:eastAsia="仿宋_GB2312" w:hint="eastAsia"/>
          <w:sz w:val="32"/>
          <w:szCs w:val="32"/>
        </w:rPr>
        <w:t>一</w:t>
      </w:r>
      <w:proofErr w:type="gramEnd"/>
      <w:r w:rsidRPr="00065F52">
        <w:rPr>
          <w:rStyle w:val="NormalCharacter"/>
          <w:rFonts w:ascii="仿宋_GB2312" w:eastAsia="仿宋_GB2312" w:hint="eastAsia"/>
          <w:sz w:val="32"/>
          <w:szCs w:val="32"/>
        </w:rPr>
        <w:t>适用原则</w:t>
      </w:r>
      <w:r w:rsidRPr="00065F52">
        <w:rPr>
          <w:rStyle w:val="NormalCharacter"/>
          <w:rFonts w:ascii="仿宋_GB2312" w:eastAsia="仿宋_GB2312" w:hint="eastAsia"/>
          <w:sz w:val="32"/>
          <w:szCs w:val="32"/>
        </w:rPr>
        <w:tab/>
      </w:r>
    </w:p>
    <w:p w:rsidR="005B73D1" w:rsidRPr="00065F52" w:rsidRDefault="005B73D1" w:rsidP="005B73D1">
      <w:pPr>
        <w:spacing w:line="560" w:lineRule="exact"/>
        <w:rPr>
          <w:rStyle w:val="NormalCharacter"/>
          <w:rFonts w:ascii="仿宋_GB2312" w:eastAsia="仿宋_GB2312"/>
          <w:sz w:val="32"/>
          <w:szCs w:val="32"/>
        </w:rPr>
      </w:pPr>
      <w:r w:rsidRPr="00065F52">
        <w:rPr>
          <w:rStyle w:val="NormalCharacter"/>
          <w:rFonts w:ascii="仿宋_GB2312" w:eastAsia="仿宋_GB2312" w:hint="eastAsia"/>
          <w:sz w:val="32"/>
          <w:szCs w:val="32"/>
        </w:rPr>
        <w:t>三、提高审执效率原则</w:t>
      </w:r>
      <w:r w:rsidRPr="00065F52">
        <w:rPr>
          <w:rStyle w:val="NormalCharacter"/>
          <w:rFonts w:ascii="仿宋_GB2312" w:eastAsia="仿宋_GB2312" w:hint="eastAsia"/>
          <w:sz w:val="32"/>
          <w:szCs w:val="32"/>
        </w:rPr>
        <w:tab/>
      </w:r>
    </w:p>
    <w:p w:rsidR="005B73D1" w:rsidRPr="00065F52" w:rsidRDefault="00AC3075" w:rsidP="005B73D1">
      <w:pPr>
        <w:spacing w:line="560" w:lineRule="exact"/>
        <w:rPr>
          <w:rStyle w:val="NormalCharacter"/>
          <w:rFonts w:ascii="仿宋_GB2312" w:eastAsia="仿宋_GB2312"/>
          <w:sz w:val="32"/>
          <w:szCs w:val="32"/>
        </w:rPr>
      </w:pPr>
      <w:r>
        <w:rPr>
          <w:rStyle w:val="NormalCharacter"/>
          <w:rFonts w:ascii="仿宋_GB2312" w:eastAsia="仿宋_GB2312" w:hint="eastAsia"/>
          <w:sz w:val="32"/>
          <w:szCs w:val="32"/>
        </w:rPr>
        <w:t>第四</w:t>
      </w:r>
      <w:r w:rsidR="005B73D1" w:rsidRPr="00065F52">
        <w:rPr>
          <w:rStyle w:val="NormalCharacter"/>
          <w:rFonts w:ascii="仿宋_GB2312" w:eastAsia="仿宋_GB2312" w:hint="eastAsia"/>
          <w:sz w:val="32"/>
          <w:szCs w:val="32"/>
        </w:rPr>
        <w:t>章 第三人撤销之诉案件的启示和建议</w:t>
      </w:r>
    </w:p>
    <w:p w:rsidR="005B73D1" w:rsidRPr="00065F52" w:rsidRDefault="005B73D1" w:rsidP="005B73D1">
      <w:pPr>
        <w:spacing w:line="560" w:lineRule="exact"/>
        <w:rPr>
          <w:rStyle w:val="NormalCharacter"/>
          <w:rFonts w:ascii="仿宋_GB2312" w:eastAsia="仿宋_GB2312"/>
          <w:sz w:val="32"/>
          <w:szCs w:val="32"/>
        </w:rPr>
      </w:pPr>
      <w:r w:rsidRPr="00065F52">
        <w:rPr>
          <w:rStyle w:val="NormalCharacter"/>
          <w:rFonts w:ascii="仿宋_GB2312" w:eastAsia="仿宋_GB2312" w:hint="eastAsia"/>
          <w:sz w:val="32"/>
          <w:szCs w:val="32"/>
        </w:rPr>
        <w:t>一、完善诉讼告知制度，规范审理程序</w:t>
      </w:r>
      <w:r w:rsidRPr="00065F52">
        <w:rPr>
          <w:rStyle w:val="NormalCharacter"/>
          <w:rFonts w:ascii="仿宋_GB2312" w:eastAsia="仿宋_GB2312" w:hint="eastAsia"/>
          <w:sz w:val="32"/>
          <w:szCs w:val="32"/>
        </w:rPr>
        <w:tab/>
      </w:r>
    </w:p>
    <w:p w:rsidR="005B73D1" w:rsidRPr="00065F52" w:rsidRDefault="005B73D1" w:rsidP="005B73D1">
      <w:pPr>
        <w:spacing w:line="560" w:lineRule="exact"/>
        <w:rPr>
          <w:rStyle w:val="NormalCharacter"/>
          <w:rFonts w:ascii="仿宋_GB2312" w:eastAsia="仿宋_GB2312"/>
          <w:sz w:val="32"/>
          <w:szCs w:val="32"/>
        </w:rPr>
      </w:pPr>
      <w:r w:rsidRPr="00065F52">
        <w:rPr>
          <w:rStyle w:val="NormalCharacter"/>
          <w:rFonts w:ascii="仿宋_GB2312" w:eastAsia="仿宋_GB2312" w:hint="eastAsia"/>
          <w:sz w:val="32"/>
          <w:szCs w:val="32"/>
        </w:rPr>
        <w:t>二、严格案外第三人的程序选择权</w:t>
      </w:r>
      <w:r w:rsidRPr="00065F52">
        <w:rPr>
          <w:rStyle w:val="NormalCharacter"/>
          <w:rFonts w:ascii="仿宋_GB2312" w:eastAsia="仿宋_GB2312" w:hint="eastAsia"/>
          <w:sz w:val="32"/>
          <w:szCs w:val="32"/>
        </w:rPr>
        <w:tab/>
      </w:r>
    </w:p>
    <w:p w:rsidR="005B73D1" w:rsidRPr="00065F52" w:rsidRDefault="005B73D1" w:rsidP="005B73D1">
      <w:pPr>
        <w:spacing w:line="560" w:lineRule="exact"/>
        <w:rPr>
          <w:rStyle w:val="NormalCharacter"/>
          <w:rFonts w:ascii="仿宋_GB2312" w:eastAsia="仿宋_GB2312"/>
          <w:sz w:val="32"/>
          <w:szCs w:val="32"/>
        </w:rPr>
      </w:pPr>
      <w:r w:rsidRPr="00065F52">
        <w:rPr>
          <w:rStyle w:val="NormalCharacter"/>
          <w:rFonts w:ascii="仿宋_GB2312" w:eastAsia="仿宋_GB2312" w:hint="eastAsia"/>
          <w:sz w:val="32"/>
          <w:szCs w:val="32"/>
        </w:rPr>
        <w:t>三、</w:t>
      </w:r>
      <w:proofErr w:type="gramStart"/>
      <w:r w:rsidRPr="00065F52">
        <w:rPr>
          <w:rStyle w:val="NormalCharacter"/>
          <w:rFonts w:ascii="仿宋_GB2312" w:eastAsia="仿宋_GB2312" w:hint="eastAsia"/>
          <w:sz w:val="32"/>
          <w:szCs w:val="32"/>
        </w:rPr>
        <w:t>强化案</w:t>
      </w:r>
      <w:proofErr w:type="gramEnd"/>
      <w:r w:rsidRPr="00065F52">
        <w:rPr>
          <w:rStyle w:val="NormalCharacter"/>
          <w:rFonts w:ascii="仿宋_GB2312" w:eastAsia="仿宋_GB2312" w:hint="eastAsia"/>
          <w:sz w:val="32"/>
          <w:szCs w:val="32"/>
        </w:rPr>
        <w:t>外人的风险</w:t>
      </w:r>
      <w:r w:rsidR="002E71C3">
        <w:rPr>
          <w:rStyle w:val="NormalCharacter"/>
          <w:rFonts w:ascii="仿宋_GB2312" w:eastAsia="仿宋_GB2312" w:hint="eastAsia"/>
          <w:sz w:val="32"/>
          <w:szCs w:val="32"/>
        </w:rPr>
        <w:t>防范</w:t>
      </w:r>
      <w:r w:rsidRPr="00065F52">
        <w:rPr>
          <w:rStyle w:val="NormalCharacter"/>
          <w:rFonts w:ascii="仿宋_GB2312" w:eastAsia="仿宋_GB2312" w:hint="eastAsia"/>
          <w:sz w:val="32"/>
          <w:szCs w:val="32"/>
        </w:rPr>
        <w:t>意识，有效避免权益受损</w:t>
      </w:r>
      <w:r w:rsidRPr="00065F52">
        <w:rPr>
          <w:rStyle w:val="NormalCharacter"/>
          <w:rFonts w:ascii="仿宋_GB2312" w:eastAsia="仿宋_GB2312" w:hint="eastAsia"/>
          <w:sz w:val="32"/>
          <w:szCs w:val="32"/>
        </w:rPr>
        <w:tab/>
      </w:r>
    </w:p>
    <w:p w:rsidR="005B73D1" w:rsidRPr="00065F52" w:rsidRDefault="005B73D1" w:rsidP="005B73D1">
      <w:pPr>
        <w:spacing w:line="560" w:lineRule="exact"/>
        <w:rPr>
          <w:rStyle w:val="NormalCharacter"/>
          <w:rFonts w:ascii="仿宋_GB2312" w:eastAsia="仿宋_GB2312"/>
          <w:sz w:val="32"/>
          <w:szCs w:val="32"/>
        </w:rPr>
      </w:pPr>
      <w:r w:rsidRPr="00065F52">
        <w:rPr>
          <w:rStyle w:val="NormalCharacter"/>
          <w:rFonts w:ascii="仿宋_GB2312" w:eastAsia="仿宋_GB2312" w:hint="eastAsia"/>
          <w:sz w:val="32"/>
          <w:szCs w:val="32"/>
        </w:rPr>
        <w:t>四、从严立案，限制滥诉，减轻</w:t>
      </w:r>
      <w:proofErr w:type="gramStart"/>
      <w:r w:rsidRPr="00065F52">
        <w:rPr>
          <w:rStyle w:val="NormalCharacter"/>
          <w:rFonts w:ascii="仿宋_GB2312" w:eastAsia="仿宋_GB2312" w:hint="eastAsia"/>
          <w:sz w:val="32"/>
          <w:szCs w:val="32"/>
        </w:rPr>
        <w:t>当事人诉累</w:t>
      </w:r>
      <w:proofErr w:type="gramEnd"/>
      <w:r w:rsidRPr="00065F52">
        <w:rPr>
          <w:rStyle w:val="NormalCharacter"/>
          <w:rFonts w:ascii="仿宋_GB2312" w:eastAsia="仿宋_GB2312" w:hint="eastAsia"/>
          <w:sz w:val="32"/>
          <w:szCs w:val="32"/>
        </w:rPr>
        <w:tab/>
      </w:r>
    </w:p>
    <w:p w:rsidR="005B73D1" w:rsidRPr="00065F52" w:rsidRDefault="005B73D1" w:rsidP="005B73D1">
      <w:pPr>
        <w:spacing w:line="560" w:lineRule="exact"/>
        <w:rPr>
          <w:rStyle w:val="NormalCharacter"/>
          <w:rFonts w:ascii="仿宋_GB2312" w:eastAsia="仿宋_GB2312"/>
          <w:sz w:val="32"/>
          <w:szCs w:val="32"/>
        </w:rPr>
      </w:pPr>
      <w:r w:rsidRPr="00065F52">
        <w:rPr>
          <w:rStyle w:val="NormalCharacter"/>
          <w:rFonts w:ascii="仿宋_GB2312" w:eastAsia="仿宋_GB2312" w:hint="eastAsia"/>
          <w:sz w:val="32"/>
          <w:szCs w:val="32"/>
        </w:rPr>
        <w:t>五、依法惩治恶意虚假诉讼，维护正常司法秩序</w:t>
      </w:r>
      <w:r w:rsidRPr="00065F52">
        <w:rPr>
          <w:rStyle w:val="NormalCharacter"/>
          <w:rFonts w:ascii="仿宋_GB2312" w:eastAsia="仿宋_GB2312" w:hint="eastAsia"/>
          <w:sz w:val="32"/>
          <w:szCs w:val="32"/>
        </w:rPr>
        <w:tab/>
      </w:r>
    </w:p>
    <w:p w:rsidR="005B73D1" w:rsidRPr="00065F52" w:rsidRDefault="005B73D1" w:rsidP="005B73D1">
      <w:pPr>
        <w:spacing w:line="560" w:lineRule="exact"/>
        <w:rPr>
          <w:rStyle w:val="NormalCharacter"/>
          <w:rFonts w:ascii="仿宋_GB2312" w:eastAsia="仿宋_GB2312"/>
          <w:sz w:val="32"/>
          <w:szCs w:val="32"/>
        </w:rPr>
      </w:pPr>
      <w:r w:rsidRPr="00065F52">
        <w:rPr>
          <w:rStyle w:val="NormalCharacter"/>
          <w:rFonts w:ascii="仿宋_GB2312" w:eastAsia="仿宋_GB2312" w:hint="eastAsia"/>
          <w:sz w:val="32"/>
          <w:szCs w:val="32"/>
        </w:rPr>
        <w:lastRenderedPageBreak/>
        <w:t>六、全面实施第三人撤销之诉案由法定化</w:t>
      </w:r>
      <w:r w:rsidRPr="00065F52">
        <w:rPr>
          <w:rStyle w:val="NormalCharacter"/>
          <w:rFonts w:ascii="仿宋_GB2312" w:eastAsia="仿宋_GB2312" w:hint="eastAsia"/>
          <w:sz w:val="32"/>
          <w:szCs w:val="32"/>
        </w:rPr>
        <w:tab/>
      </w:r>
    </w:p>
    <w:p w:rsidR="005B73D1" w:rsidRPr="00065F52" w:rsidRDefault="005B73D1" w:rsidP="005B73D1">
      <w:pPr>
        <w:spacing w:line="560" w:lineRule="exact"/>
        <w:rPr>
          <w:rStyle w:val="NormalCharacter"/>
          <w:rFonts w:ascii="仿宋_GB2312" w:eastAsia="仿宋_GB2312"/>
          <w:sz w:val="32"/>
          <w:szCs w:val="32"/>
        </w:rPr>
      </w:pPr>
      <w:r w:rsidRPr="00065F52">
        <w:rPr>
          <w:rStyle w:val="NormalCharacter"/>
          <w:rFonts w:ascii="仿宋_GB2312" w:eastAsia="仿宋_GB2312" w:hint="eastAsia"/>
          <w:sz w:val="32"/>
          <w:szCs w:val="32"/>
        </w:rPr>
        <w:t>七、加强业务交流，统一</w:t>
      </w:r>
      <w:r w:rsidR="002E71C3" w:rsidRPr="00ED6878">
        <w:rPr>
          <w:rStyle w:val="NormalCharacter"/>
          <w:rFonts w:ascii="仿宋_GB2312" w:eastAsia="仿宋_GB2312" w:hint="eastAsia"/>
          <w:sz w:val="32"/>
          <w:szCs w:val="32"/>
        </w:rPr>
        <w:t>裁判</w:t>
      </w:r>
      <w:r w:rsidRPr="00ED6878">
        <w:rPr>
          <w:rStyle w:val="NormalCharacter"/>
          <w:rFonts w:ascii="仿宋_GB2312" w:eastAsia="仿宋_GB2312" w:hint="eastAsia"/>
          <w:sz w:val="32"/>
          <w:szCs w:val="32"/>
        </w:rPr>
        <w:t>尺度</w:t>
      </w:r>
      <w:r w:rsidRPr="00065F52">
        <w:rPr>
          <w:rStyle w:val="NormalCharacter"/>
          <w:rFonts w:ascii="仿宋_GB2312" w:eastAsia="仿宋_GB2312" w:hint="eastAsia"/>
          <w:sz w:val="32"/>
          <w:szCs w:val="32"/>
        </w:rPr>
        <w:t>，总结实践经验</w:t>
      </w:r>
      <w:r w:rsidRPr="00065F52">
        <w:rPr>
          <w:rStyle w:val="NormalCharacter"/>
          <w:rFonts w:ascii="仿宋_GB2312" w:eastAsia="仿宋_GB2312" w:hint="eastAsia"/>
          <w:sz w:val="32"/>
          <w:szCs w:val="32"/>
        </w:rPr>
        <w:tab/>
      </w:r>
    </w:p>
    <w:p w:rsidR="005B73D1" w:rsidRPr="00065F52" w:rsidRDefault="005B73D1" w:rsidP="005B73D1">
      <w:pPr>
        <w:spacing w:line="560" w:lineRule="exact"/>
        <w:rPr>
          <w:rStyle w:val="NormalCharacter"/>
          <w:rFonts w:ascii="仿宋_GB2312" w:eastAsia="仿宋_GB2312"/>
          <w:sz w:val="44"/>
          <w:szCs w:val="44"/>
        </w:rPr>
      </w:pPr>
    </w:p>
    <w:p w:rsidR="005B73D1" w:rsidRPr="00065F52" w:rsidRDefault="005B73D1" w:rsidP="005B73D1">
      <w:pPr>
        <w:spacing w:line="560" w:lineRule="exact"/>
        <w:rPr>
          <w:rStyle w:val="NormalCharacter"/>
          <w:rFonts w:ascii="仿宋_GB2312" w:eastAsia="仿宋_GB2312"/>
          <w:sz w:val="44"/>
          <w:szCs w:val="44"/>
        </w:rPr>
      </w:pPr>
    </w:p>
    <w:p w:rsidR="005B73D1" w:rsidRPr="00065F52" w:rsidRDefault="005B73D1" w:rsidP="005B73D1">
      <w:pPr>
        <w:spacing w:line="560" w:lineRule="exact"/>
        <w:rPr>
          <w:rStyle w:val="NormalCharacter"/>
          <w:rFonts w:ascii="仿宋_GB2312" w:eastAsia="仿宋_GB2312"/>
          <w:sz w:val="44"/>
          <w:szCs w:val="44"/>
        </w:rPr>
      </w:pPr>
    </w:p>
    <w:p w:rsidR="005B73D1" w:rsidRPr="00065F52" w:rsidRDefault="005B73D1" w:rsidP="005B73D1">
      <w:pPr>
        <w:spacing w:line="560" w:lineRule="exact"/>
        <w:rPr>
          <w:rStyle w:val="NormalCharacter"/>
          <w:rFonts w:ascii="仿宋_GB2312" w:eastAsia="仿宋_GB2312"/>
          <w:sz w:val="44"/>
          <w:szCs w:val="44"/>
        </w:rPr>
      </w:pPr>
    </w:p>
    <w:p w:rsidR="005B73D1" w:rsidRDefault="005B73D1" w:rsidP="005B73D1">
      <w:pPr>
        <w:spacing w:line="560" w:lineRule="exact"/>
        <w:rPr>
          <w:rStyle w:val="NormalCharacter"/>
          <w:rFonts w:ascii="仿宋_GB2312" w:eastAsia="仿宋_GB2312"/>
          <w:sz w:val="44"/>
          <w:szCs w:val="44"/>
        </w:rPr>
      </w:pPr>
    </w:p>
    <w:p w:rsidR="000B635D" w:rsidRDefault="000B635D" w:rsidP="005B73D1">
      <w:pPr>
        <w:spacing w:line="560" w:lineRule="exact"/>
        <w:rPr>
          <w:rStyle w:val="NormalCharacter"/>
          <w:rFonts w:ascii="仿宋_GB2312" w:eastAsia="仿宋_GB2312"/>
          <w:sz w:val="44"/>
          <w:szCs w:val="44"/>
        </w:rPr>
      </w:pPr>
    </w:p>
    <w:p w:rsidR="000B635D" w:rsidRDefault="000B635D" w:rsidP="005B73D1">
      <w:pPr>
        <w:spacing w:line="560" w:lineRule="exact"/>
        <w:rPr>
          <w:rStyle w:val="NormalCharacter"/>
          <w:rFonts w:ascii="仿宋_GB2312" w:eastAsia="仿宋_GB2312"/>
          <w:sz w:val="44"/>
          <w:szCs w:val="44"/>
        </w:rPr>
      </w:pPr>
    </w:p>
    <w:p w:rsidR="000B635D" w:rsidRDefault="000B635D" w:rsidP="005B73D1">
      <w:pPr>
        <w:spacing w:line="560" w:lineRule="exact"/>
        <w:rPr>
          <w:rStyle w:val="NormalCharacter"/>
          <w:rFonts w:ascii="仿宋_GB2312" w:eastAsia="仿宋_GB2312"/>
          <w:sz w:val="44"/>
          <w:szCs w:val="44"/>
        </w:rPr>
      </w:pPr>
    </w:p>
    <w:p w:rsidR="000B635D" w:rsidRDefault="000B635D" w:rsidP="005B73D1">
      <w:pPr>
        <w:spacing w:line="560" w:lineRule="exact"/>
        <w:rPr>
          <w:rStyle w:val="NormalCharacter"/>
          <w:rFonts w:ascii="仿宋_GB2312" w:eastAsia="仿宋_GB2312"/>
          <w:sz w:val="44"/>
          <w:szCs w:val="44"/>
        </w:rPr>
      </w:pPr>
    </w:p>
    <w:p w:rsidR="000B635D" w:rsidRDefault="000B635D" w:rsidP="005B73D1">
      <w:pPr>
        <w:spacing w:line="560" w:lineRule="exact"/>
        <w:rPr>
          <w:rStyle w:val="NormalCharacter"/>
          <w:rFonts w:ascii="仿宋_GB2312" w:eastAsia="仿宋_GB2312"/>
          <w:sz w:val="44"/>
          <w:szCs w:val="44"/>
        </w:rPr>
      </w:pPr>
    </w:p>
    <w:p w:rsidR="000B635D" w:rsidRDefault="000B635D" w:rsidP="005B73D1">
      <w:pPr>
        <w:spacing w:line="560" w:lineRule="exact"/>
        <w:rPr>
          <w:rStyle w:val="NormalCharacter"/>
          <w:rFonts w:ascii="仿宋_GB2312" w:eastAsia="仿宋_GB2312"/>
          <w:sz w:val="44"/>
          <w:szCs w:val="44"/>
        </w:rPr>
      </w:pPr>
    </w:p>
    <w:p w:rsidR="000B635D" w:rsidRDefault="000B635D" w:rsidP="005B73D1">
      <w:pPr>
        <w:spacing w:line="560" w:lineRule="exact"/>
        <w:rPr>
          <w:rStyle w:val="NormalCharacter"/>
          <w:rFonts w:ascii="仿宋_GB2312" w:eastAsia="仿宋_GB2312"/>
          <w:sz w:val="44"/>
          <w:szCs w:val="44"/>
        </w:rPr>
      </w:pPr>
    </w:p>
    <w:p w:rsidR="000B635D" w:rsidRDefault="000B635D" w:rsidP="005B73D1">
      <w:pPr>
        <w:spacing w:line="560" w:lineRule="exact"/>
        <w:rPr>
          <w:rStyle w:val="NormalCharacter"/>
          <w:rFonts w:ascii="仿宋_GB2312" w:eastAsia="仿宋_GB2312"/>
          <w:sz w:val="44"/>
          <w:szCs w:val="44"/>
        </w:rPr>
      </w:pPr>
    </w:p>
    <w:p w:rsidR="000B635D" w:rsidRDefault="000B635D" w:rsidP="005B73D1">
      <w:pPr>
        <w:spacing w:line="560" w:lineRule="exact"/>
        <w:rPr>
          <w:rStyle w:val="NormalCharacter"/>
          <w:rFonts w:ascii="仿宋_GB2312" w:eastAsia="仿宋_GB2312"/>
          <w:sz w:val="44"/>
          <w:szCs w:val="44"/>
        </w:rPr>
      </w:pPr>
    </w:p>
    <w:p w:rsidR="000B635D" w:rsidRDefault="000B635D" w:rsidP="005B73D1">
      <w:pPr>
        <w:spacing w:line="560" w:lineRule="exact"/>
        <w:rPr>
          <w:rStyle w:val="NormalCharacter"/>
          <w:rFonts w:ascii="仿宋_GB2312" w:eastAsia="仿宋_GB2312"/>
          <w:sz w:val="44"/>
          <w:szCs w:val="44"/>
        </w:rPr>
      </w:pPr>
    </w:p>
    <w:p w:rsidR="000B635D" w:rsidRDefault="000B635D" w:rsidP="005B73D1">
      <w:pPr>
        <w:spacing w:line="560" w:lineRule="exact"/>
        <w:rPr>
          <w:rStyle w:val="NormalCharacter"/>
          <w:rFonts w:ascii="仿宋_GB2312" w:eastAsia="仿宋_GB2312"/>
          <w:sz w:val="44"/>
          <w:szCs w:val="44"/>
        </w:rPr>
      </w:pPr>
    </w:p>
    <w:p w:rsidR="000B635D" w:rsidRDefault="000B635D" w:rsidP="005B73D1">
      <w:pPr>
        <w:spacing w:line="560" w:lineRule="exact"/>
        <w:rPr>
          <w:rStyle w:val="NormalCharacter"/>
          <w:rFonts w:ascii="仿宋_GB2312" w:eastAsia="仿宋_GB2312"/>
          <w:sz w:val="44"/>
          <w:szCs w:val="44"/>
        </w:rPr>
      </w:pPr>
    </w:p>
    <w:p w:rsidR="000B635D" w:rsidRDefault="000B635D" w:rsidP="005B73D1">
      <w:pPr>
        <w:spacing w:line="560" w:lineRule="exact"/>
        <w:rPr>
          <w:rStyle w:val="NormalCharacter"/>
          <w:rFonts w:ascii="仿宋_GB2312" w:eastAsia="仿宋_GB2312"/>
          <w:sz w:val="44"/>
          <w:szCs w:val="44"/>
        </w:rPr>
      </w:pPr>
    </w:p>
    <w:p w:rsidR="000B635D" w:rsidRDefault="000B635D" w:rsidP="005B73D1">
      <w:pPr>
        <w:spacing w:line="560" w:lineRule="exact"/>
        <w:rPr>
          <w:rStyle w:val="NormalCharacter"/>
          <w:rFonts w:ascii="仿宋_GB2312" w:eastAsia="仿宋_GB2312"/>
          <w:sz w:val="44"/>
          <w:szCs w:val="44"/>
        </w:rPr>
      </w:pPr>
    </w:p>
    <w:p w:rsidR="000B635D" w:rsidRDefault="000B635D" w:rsidP="005B73D1">
      <w:pPr>
        <w:spacing w:line="560" w:lineRule="exact"/>
        <w:rPr>
          <w:rStyle w:val="NormalCharacter"/>
          <w:rFonts w:ascii="仿宋_GB2312" w:eastAsia="仿宋_GB2312"/>
          <w:sz w:val="44"/>
          <w:szCs w:val="44"/>
        </w:rPr>
      </w:pPr>
    </w:p>
    <w:p w:rsidR="000B635D" w:rsidRPr="00065F52" w:rsidRDefault="000B635D" w:rsidP="005B73D1">
      <w:pPr>
        <w:spacing w:line="560" w:lineRule="exact"/>
        <w:rPr>
          <w:rStyle w:val="NormalCharacter"/>
          <w:rFonts w:ascii="仿宋_GB2312" w:eastAsia="仿宋_GB2312"/>
          <w:sz w:val="44"/>
          <w:szCs w:val="44"/>
        </w:rPr>
      </w:pPr>
    </w:p>
    <w:p w:rsidR="005B73D1" w:rsidRPr="00065F52" w:rsidRDefault="005B73D1" w:rsidP="005B73D1">
      <w:pPr>
        <w:spacing w:line="560" w:lineRule="exact"/>
        <w:rPr>
          <w:rStyle w:val="NormalCharacter"/>
          <w:rFonts w:ascii="仿宋_GB2312" w:eastAsia="仿宋_GB2312"/>
          <w:sz w:val="44"/>
          <w:szCs w:val="44"/>
        </w:rPr>
      </w:pPr>
    </w:p>
    <w:p w:rsidR="001503D0" w:rsidRPr="00065F52" w:rsidRDefault="001503D0" w:rsidP="001503D0">
      <w:pPr>
        <w:pStyle w:val="1"/>
        <w:spacing w:before="0" w:after="0"/>
        <w:jc w:val="center"/>
        <w:rPr>
          <w:rStyle w:val="NormalCharacter"/>
          <w:rFonts w:ascii="方正小标宋简体" w:eastAsia="方正小标宋简体"/>
          <w:b w:val="0"/>
        </w:rPr>
      </w:pPr>
      <w:bookmarkStart w:id="101" w:name="_Toc36114035"/>
      <w:r w:rsidRPr="00065F52">
        <w:rPr>
          <w:rStyle w:val="NormalCharacter"/>
          <w:rFonts w:ascii="方正小标宋简体" w:eastAsia="方正小标宋简体" w:hint="eastAsia"/>
          <w:b w:val="0"/>
        </w:rPr>
        <w:lastRenderedPageBreak/>
        <w:t>前  言</w:t>
      </w:r>
      <w:bookmarkEnd w:id="101"/>
    </w:p>
    <w:p w:rsidR="001503D0" w:rsidRPr="00065F52" w:rsidRDefault="001503D0" w:rsidP="001503D0">
      <w:pPr>
        <w:spacing w:line="560" w:lineRule="exact"/>
        <w:rPr>
          <w:rStyle w:val="NormalCharacter"/>
          <w:rFonts w:ascii="仿宋_GB2312" w:eastAsia="仿宋_GB2312"/>
          <w:sz w:val="44"/>
          <w:szCs w:val="44"/>
        </w:rPr>
      </w:pPr>
    </w:p>
    <w:p w:rsidR="001503D0" w:rsidRPr="00065F52" w:rsidRDefault="001503D0" w:rsidP="001503D0">
      <w:pPr>
        <w:snapToGrid w:val="0"/>
        <w:spacing w:line="560" w:lineRule="exact"/>
        <w:ind w:firstLineChars="200" w:firstLine="640"/>
        <w:rPr>
          <w:rFonts w:ascii="仿宋_GB2312" w:eastAsia="仿宋_GB2312" w:hAnsi="宋体" w:cs="宋体"/>
          <w:color w:val="000000"/>
          <w:kern w:val="0"/>
          <w:sz w:val="32"/>
          <w:szCs w:val="32"/>
        </w:rPr>
      </w:pPr>
      <w:r w:rsidRPr="00065F52">
        <w:rPr>
          <w:rFonts w:ascii="仿宋_GB2312" w:eastAsia="仿宋_GB2312" w:hAnsi="宋体" w:cs="宋体" w:hint="eastAsia"/>
          <w:color w:val="000000"/>
          <w:kern w:val="0"/>
          <w:sz w:val="32"/>
          <w:szCs w:val="32"/>
        </w:rPr>
        <w:t>法</w:t>
      </w:r>
      <w:proofErr w:type="gramStart"/>
      <w:r w:rsidRPr="00065F52">
        <w:rPr>
          <w:rFonts w:ascii="仿宋_GB2312" w:eastAsia="仿宋_GB2312" w:hAnsi="宋体" w:cs="宋体" w:hint="eastAsia"/>
          <w:color w:val="000000"/>
          <w:kern w:val="0"/>
          <w:sz w:val="32"/>
          <w:szCs w:val="32"/>
        </w:rPr>
        <w:t>谚</w:t>
      </w:r>
      <w:proofErr w:type="gramEnd"/>
      <w:r w:rsidRPr="00065F52">
        <w:rPr>
          <w:rFonts w:ascii="仿宋_GB2312" w:eastAsia="仿宋_GB2312" w:hAnsi="宋体" w:cs="宋体" w:hint="eastAsia"/>
          <w:color w:val="000000"/>
          <w:kern w:val="0"/>
          <w:sz w:val="32"/>
          <w:szCs w:val="32"/>
        </w:rPr>
        <w:t>有云</w:t>
      </w:r>
      <w:r w:rsidR="002E71C3">
        <w:rPr>
          <w:rFonts w:ascii="仿宋_GB2312" w:eastAsia="仿宋_GB2312" w:hAnsi="宋体" w:cs="宋体" w:hint="eastAsia"/>
          <w:color w:val="000000"/>
          <w:kern w:val="0"/>
          <w:sz w:val="32"/>
          <w:szCs w:val="32"/>
        </w:rPr>
        <w:t>，</w:t>
      </w:r>
      <w:r w:rsidRPr="00065F52">
        <w:rPr>
          <w:rFonts w:ascii="仿宋_GB2312" w:eastAsia="仿宋_GB2312" w:hAnsi="宋体" w:cs="宋体" w:hint="eastAsia"/>
          <w:color w:val="000000"/>
          <w:kern w:val="0"/>
          <w:sz w:val="32"/>
          <w:szCs w:val="32"/>
        </w:rPr>
        <w:t>“没有救济的权利不是真正的权利”。第三人撤销之诉是我国2012年修改的民事诉讼法中新创设的一种第三人权利救济制度，该制度有力促进了我国第三人权益救济体系的完善。第三人撤销之</w:t>
      </w:r>
      <w:proofErr w:type="gramStart"/>
      <w:r w:rsidRPr="00065F52">
        <w:rPr>
          <w:rFonts w:ascii="仿宋_GB2312" w:eastAsia="仿宋_GB2312" w:hAnsi="宋体" w:cs="宋体" w:hint="eastAsia"/>
          <w:color w:val="000000"/>
          <w:kern w:val="0"/>
          <w:sz w:val="32"/>
          <w:szCs w:val="32"/>
        </w:rPr>
        <w:t>诉制度</w:t>
      </w:r>
      <w:proofErr w:type="gramEnd"/>
      <w:r w:rsidRPr="00065F52">
        <w:rPr>
          <w:rFonts w:ascii="仿宋_GB2312" w:eastAsia="仿宋_GB2312" w:hAnsi="宋体" w:cs="宋体" w:hint="eastAsia"/>
          <w:color w:val="000000"/>
          <w:kern w:val="0"/>
          <w:sz w:val="32"/>
          <w:szCs w:val="32"/>
        </w:rPr>
        <w:t>主要是指案外第三人通过依法申请撤销他人之间已经生效的、错误的判决、裁定和调解书的方式，维护自身合法民事权益的制度。该制度的设置，是立法者在实体正义和司法权威的价值冲突中所做的选择，特别是在遏制、打击实践中出现的虚假诉讼，</w:t>
      </w:r>
      <w:proofErr w:type="gramStart"/>
      <w:r w:rsidRPr="00065F52">
        <w:rPr>
          <w:rFonts w:ascii="仿宋_GB2312" w:eastAsia="仿宋_GB2312" w:hAnsi="宋体" w:cs="宋体" w:hint="eastAsia"/>
          <w:color w:val="000000"/>
          <w:kern w:val="0"/>
          <w:sz w:val="32"/>
          <w:szCs w:val="32"/>
        </w:rPr>
        <w:t>维护案</w:t>
      </w:r>
      <w:proofErr w:type="gramEnd"/>
      <w:r w:rsidRPr="00065F52">
        <w:rPr>
          <w:rFonts w:ascii="仿宋_GB2312" w:eastAsia="仿宋_GB2312" w:hAnsi="宋体" w:cs="宋体" w:hint="eastAsia"/>
          <w:color w:val="000000"/>
          <w:kern w:val="0"/>
          <w:sz w:val="32"/>
          <w:szCs w:val="32"/>
        </w:rPr>
        <w:t>外人合法权益方面尤为必要。近年来，当事人通过恶意诉讼、虚构债权等手段侵害第三人合法权益的案件日益增多，而个别当事人、案外人利用相关救济程序滥用诉权，拖延规避执行的案件也时有发生。此类案件如不妥善解决，不仅有损司法权威，更会增加社会矛盾纠纷，不利于社会的安全稳定，有违公平正义。虽然在案外人救济程序中，尚有案外人执行异议之诉及案外人申请再审程序，</w:t>
      </w:r>
      <w:proofErr w:type="gramStart"/>
      <w:r w:rsidRPr="00065F52">
        <w:rPr>
          <w:rFonts w:ascii="仿宋_GB2312" w:eastAsia="仿宋_GB2312" w:hAnsi="宋体" w:cs="宋体" w:hint="eastAsia"/>
          <w:color w:val="000000"/>
          <w:kern w:val="0"/>
          <w:sz w:val="32"/>
          <w:szCs w:val="32"/>
        </w:rPr>
        <w:t>但案外人</w:t>
      </w:r>
      <w:proofErr w:type="gramEnd"/>
      <w:r w:rsidRPr="00065F52">
        <w:rPr>
          <w:rFonts w:ascii="仿宋_GB2312" w:eastAsia="仿宋_GB2312" w:hAnsi="宋体" w:cs="宋体" w:hint="eastAsia"/>
          <w:color w:val="000000"/>
          <w:kern w:val="0"/>
          <w:sz w:val="32"/>
          <w:szCs w:val="32"/>
        </w:rPr>
        <w:t>执行异议</w:t>
      </w:r>
      <w:proofErr w:type="gramStart"/>
      <w:r w:rsidRPr="00065F52">
        <w:rPr>
          <w:rFonts w:ascii="仿宋_GB2312" w:eastAsia="仿宋_GB2312" w:hAnsi="宋体" w:cs="宋体" w:hint="eastAsia"/>
          <w:color w:val="000000"/>
          <w:kern w:val="0"/>
          <w:sz w:val="32"/>
          <w:szCs w:val="32"/>
        </w:rPr>
        <w:t>之诉仅适用于</w:t>
      </w:r>
      <w:proofErr w:type="gramEnd"/>
      <w:r w:rsidRPr="00065F52">
        <w:rPr>
          <w:rFonts w:ascii="仿宋_GB2312" w:eastAsia="仿宋_GB2312" w:hAnsi="宋体" w:cs="宋体" w:hint="eastAsia"/>
          <w:color w:val="000000"/>
          <w:kern w:val="0"/>
          <w:sz w:val="32"/>
          <w:szCs w:val="32"/>
        </w:rPr>
        <w:t>执行阶段，在裁判生效后至执行前这一阶段或者案件未申请强制执行时，对第三人不能有效救济，</w:t>
      </w:r>
      <w:proofErr w:type="gramStart"/>
      <w:r w:rsidRPr="00065F52">
        <w:rPr>
          <w:rFonts w:ascii="仿宋_GB2312" w:eastAsia="仿宋_GB2312" w:hAnsi="宋体" w:cs="宋体" w:hint="eastAsia"/>
          <w:color w:val="000000"/>
          <w:kern w:val="0"/>
          <w:sz w:val="32"/>
          <w:szCs w:val="32"/>
        </w:rPr>
        <w:t>而案外人</w:t>
      </w:r>
      <w:proofErr w:type="gramEnd"/>
      <w:r w:rsidRPr="00065F52">
        <w:rPr>
          <w:rFonts w:ascii="仿宋_GB2312" w:eastAsia="仿宋_GB2312" w:hAnsi="宋体" w:cs="宋体" w:hint="eastAsia"/>
          <w:color w:val="000000"/>
          <w:kern w:val="0"/>
          <w:sz w:val="32"/>
          <w:szCs w:val="32"/>
        </w:rPr>
        <w:t>申请再审程序也是限定在执行过程中，以执行异议为前置程序，且再审旨在推翻原诉判决的效力，往往以诉讼程序、生效裁判等存在重大瑕疵、确有错误等为启动的前提条件，致使再审程序审查尤为严格，不利于对第三人合法权益的保护。而</w:t>
      </w:r>
      <w:r w:rsidRPr="00065F52">
        <w:rPr>
          <w:rStyle w:val="NormalCharacter"/>
          <w:rFonts w:ascii="仿宋_GB2312" w:eastAsia="仿宋_GB2312" w:hint="eastAsia"/>
          <w:sz w:val="32"/>
          <w:szCs w:val="32"/>
        </w:rPr>
        <w:t>第三人撤销之诉起诉的期间是从原审裁判文书生效开始起</w:t>
      </w:r>
      <w:r w:rsidRPr="00065F52">
        <w:rPr>
          <w:rStyle w:val="NormalCharacter"/>
          <w:rFonts w:ascii="仿宋_GB2312" w:eastAsia="仿宋_GB2312" w:hint="eastAsia"/>
          <w:sz w:val="32"/>
          <w:szCs w:val="32"/>
        </w:rPr>
        <w:lastRenderedPageBreak/>
        <w:t>算，该裁判文书是否进入执行程序在所不问。经审查，第三人的</w:t>
      </w:r>
      <w:r w:rsidRPr="00065F52">
        <w:rPr>
          <w:rStyle w:val="NormalCharacter"/>
          <w:rFonts w:ascii="仿宋_GB2312" w:eastAsia="仿宋_GB2312" w:hint="eastAsia"/>
          <w:color w:val="000000"/>
          <w:sz w:val="32"/>
          <w:szCs w:val="32"/>
        </w:rPr>
        <w:t>诉讼请求依法成立的，法院一般应改变或者撤销原审裁判文书，并可根据第三人的主张，对第三人提出的实体权利</w:t>
      </w:r>
      <w:proofErr w:type="gramStart"/>
      <w:r w:rsidRPr="00065F52">
        <w:rPr>
          <w:rStyle w:val="NormalCharacter"/>
          <w:rFonts w:ascii="仿宋_GB2312" w:eastAsia="仿宋_GB2312" w:hint="eastAsia"/>
          <w:color w:val="000000"/>
          <w:sz w:val="32"/>
          <w:szCs w:val="32"/>
        </w:rPr>
        <w:t>作出</w:t>
      </w:r>
      <w:proofErr w:type="gramEnd"/>
      <w:r w:rsidRPr="00065F52">
        <w:rPr>
          <w:rStyle w:val="NormalCharacter"/>
          <w:rFonts w:ascii="仿宋_GB2312" w:eastAsia="仿宋_GB2312" w:hint="eastAsia"/>
          <w:color w:val="000000"/>
          <w:sz w:val="32"/>
          <w:szCs w:val="32"/>
        </w:rPr>
        <w:t>具体认定，</w:t>
      </w:r>
      <w:r w:rsidRPr="00065F52">
        <w:rPr>
          <w:rStyle w:val="NormalCharacter"/>
          <w:rFonts w:ascii="仿宋_GB2312" w:eastAsia="仿宋_GB2312" w:hAnsi="黑体" w:hint="eastAsia"/>
          <w:sz w:val="32"/>
          <w:szCs w:val="32"/>
        </w:rPr>
        <w:t>能够</w:t>
      </w:r>
      <w:r w:rsidRPr="00065F52">
        <w:rPr>
          <w:rStyle w:val="NormalCharacter"/>
          <w:rFonts w:ascii="仿宋_GB2312" w:eastAsia="仿宋_GB2312" w:hint="eastAsia"/>
          <w:color w:val="000000"/>
          <w:sz w:val="32"/>
          <w:szCs w:val="32"/>
        </w:rPr>
        <w:t>实现对当事人合法权益的全面维护。</w:t>
      </w:r>
      <w:r w:rsidRPr="00065F52">
        <w:rPr>
          <w:rFonts w:ascii="仿宋_GB2312" w:eastAsia="仿宋_GB2312" w:hAnsi="宋体" w:cs="宋体" w:hint="eastAsia"/>
          <w:color w:val="000000"/>
          <w:kern w:val="0"/>
          <w:sz w:val="32"/>
          <w:szCs w:val="32"/>
        </w:rPr>
        <w:t>因此，</w:t>
      </w:r>
      <w:r w:rsidRPr="00065F52">
        <w:rPr>
          <w:rStyle w:val="NormalCharacter"/>
          <w:rFonts w:ascii="仿宋_GB2312" w:eastAsia="仿宋_GB2312" w:hint="eastAsia"/>
          <w:sz w:val="32"/>
          <w:szCs w:val="32"/>
        </w:rPr>
        <w:t>第三人撤销之诉的</w:t>
      </w:r>
      <w:r w:rsidRPr="00065F52">
        <w:rPr>
          <w:rStyle w:val="NormalCharacter"/>
          <w:rFonts w:ascii="仿宋_GB2312" w:eastAsia="仿宋_GB2312" w:hAnsi="黑体" w:hint="eastAsia"/>
          <w:sz w:val="32"/>
          <w:szCs w:val="32"/>
        </w:rPr>
        <w:t>权利救济更具终局性和彻底性，</w:t>
      </w:r>
      <w:r w:rsidRPr="00065F52">
        <w:rPr>
          <w:rFonts w:ascii="仿宋_GB2312" w:eastAsia="仿宋_GB2312" w:hAnsi="宋体" w:cs="宋体" w:hint="eastAsia"/>
          <w:color w:val="000000"/>
          <w:kern w:val="0"/>
          <w:sz w:val="32"/>
          <w:szCs w:val="32"/>
        </w:rPr>
        <w:t>其制度设置也已成为必然。</w:t>
      </w:r>
    </w:p>
    <w:p w:rsidR="001503D0" w:rsidRPr="00065F52" w:rsidRDefault="001503D0" w:rsidP="001503D0">
      <w:pPr>
        <w:snapToGrid w:val="0"/>
        <w:spacing w:line="560" w:lineRule="exact"/>
        <w:ind w:firstLineChars="200" w:firstLine="640"/>
        <w:rPr>
          <w:rFonts w:ascii="仿宋_GB2312" w:eastAsia="仿宋_GB2312" w:hAnsi="宋体" w:cs="宋体"/>
          <w:color w:val="000000"/>
          <w:kern w:val="0"/>
          <w:sz w:val="32"/>
          <w:szCs w:val="32"/>
        </w:rPr>
      </w:pPr>
      <w:r w:rsidRPr="00065F52">
        <w:rPr>
          <w:rStyle w:val="NormalCharacter"/>
          <w:rFonts w:ascii="仿宋_GB2312" w:eastAsia="仿宋_GB2312" w:hAnsi="宋体" w:hint="eastAsia"/>
          <w:color w:val="000000" w:themeColor="text1"/>
          <w:sz w:val="32"/>
          <w:szCs w:val="32"/>
        </w:rPr>
        <w:t>作为2012年新创设的案外人权益救济制度，该制度在实行之后，案件已成持续增长态势。</w:t>
      </w:r>
      <w:r w:rsidRPr="00065F52">
        <w:rPr>
          <w:rFonts w:ascii="仿宋_GB2312" w:eastAsia="仿宋_GB2312" w:hAnsi="宋体" w:cs="宋体" w:hint="eastAsia"/>
          <w:color w:val="000000"/>
          <w:kern w:val="0"/>
          <w:sz w:val="32"/>
          <w:szCs w:val="32"/>
        </w:rPr>
        <w:t>在全国2013-2019年度的第三人撤销之</w:t>
      </w:r>
      <w:proofErr w:type="gramStart"/>
      <w:r w:rsidRPr="00065F52">
        <w:rPr>
          <w:rFonts w:ascii="仿宋_GB2312" w:eastAsia="仿宋_GB2312" w:hAnsi="宋体" w:cs="宋体" w:hint="eastAsia"/>
          <w:color w:val="000000"/>
          <w:kern w:val="0"/>
          <w:sz w:val="32"/>
          <w:szCs w:val="32"/>
        </w:rPr>
        <w:t>诉公开</w:t>
      </w:r>
      <w:proofErr w:type="gramEnd"/>
      <w:r w:rsidRPr="00065F52">
        <w:rPr>
          <w:rFonts w:ascii="仿宋_GB2312" w:eastAsia="仿宋_GB2312" w:hAnsi="宋体" w:cs="宋体" w:hint="eastAsia"/>
          <w:color w:val="000000"/>
          <w:kern w:val="0"/>
          <w:sz w:val="32"/>
          <w:szCs w:val="32"/>
        </w:rPr>
        <w:t>案例数据统计当中，案例数量基本是逐年增长，其中2018年达到最高峰，为7034件，2019年略有回落。然而，第三人撤销之</w:t>
      </w:r>
      <w:proofErr w:type="gramStart"/>
      <w:r w:rsidRPr="00065F52">
        <w:rPr>
          <w:rFonts w:ascii="仿宋_GB2312" w:eastAsia="仿宋_GB2312" w:hAnsi="宋体" w:cs="宋体" w:hint="eastAsia"/>
          <w:color w:val="000000"/>
          <w:kern w:val="0"/>
          <w:sz w:val="32"/>
          <w:szCs w:val="32"/>
        </w:rPr>
        <w:t>诉制度</w:t>
      </w:r>
      <w:proofErr w:type="gramEnd"/>
      <w:r w:rsidRPr="00065F52">
        <w:rPr>
          <w:rFonts w:ascii="仿宋_GB2312" w:eastAsia="仿宋_GB2312" w:hAnsi="宋体" w:cs="宋体" w:hint="eastAsia"/>
          <w:color w:val="000000"/>
          <w:kern w:val="0"/>
          <w:sz w:val="32"/>
          <w:szCs w:val="32"/>
        </w:rPr>
        <w:t>作为一种对原审裁判的纠错机制，从立法之初到现在，该类案件在呈逐年增长趋势同时，在司法实践中也产生了种种问题，急需明确解决思路，指导司法实践，实现第三人利益救济。</w:t>
      </w:r>
    </w:p>
    <w:p w:rsidR="001503D0" w:rsidRPr="00065F52" w:rsidRDefault="001503D0" w:rsidP="001503D0">
      <w:pPr>
        <w:snapToGrid w:val="0"/>
        <w:spacing w:line="560" w:lineRule="exact"/>
        <w:ind w:firstLineChars="200" w:firstLine="640"/>
        <w:rPr>
          <w:rFonts w:ascii="仿宋_GB2312" w:eastAsia="仿宋_GB2312" w:hAnsi="宋体" w:cs="宋体"/>
          <w:color w:val="000000"/>
          <w:kern w:val="0"/>
          <w:sz w:val="32"/>
          <w:szCs w:val="32"/>
        </w:rPr>
      </w:pPr>
      <w:r w:rsidRPr="00065F52">
        <w:rPr>
          <w:rFonts w:ascii="仿宋_GB2312" w:eastAsia="仿宋_GB2312" w:hAnsi="宋体" w:cs="宋体" w:hint="eastAsia"/>
          <w:color w:val="000000"/>
          <w:kern w:val="0"/>
          <w:sz w:val="32"/>
          <w:szCs w:val="32"/>
        </w:rPr>
        <w:t>为反映近年来</w:t>
      </w:r>
      <w:r w:rsidR="00F911D4">
        <w:rPr>
          <w:rFonts w:ascii="仿宋_GB2312" w:eastAsia="仿宋_GB2312" w:hAnsi="宋体" w:cs="宋体" w:hint="eastAsia"/>
          <w:color w:val="000000"/>
          <w:kern w:val="0"/>
          <w:sz w:val="32"/>
          <w:szCs w:val="32"/>
        </w:rPr>
        <w:t>青岛市</w:t>
      </w:r>
      <w:r w:rsidRPr="00065F52">
        <w:rPr>
          <w:rFonts w:ascii="仿宋_GB2312" w:eastAsia="仿宋_GB2312" w:hAnsi="宋体" w:cs="宋体" w:hint="eastAsia"/>
          <w:color w:val="000000"/>
          <w:kern w:val="0"/>
          <w:sz w:val="32"/>
          <w:szCs w:val="32"/>
        </w:rPr>
        <w:t>第三人撤销之诉案件处理情况，增强社会各界对第三人撤销之诉案件处理工作的认识，统一裁判尺度，调动全社会力量维护</w:t>
      </w:r>
      <w:r w:rsidR="00F911D4">
        <w:rPr>
          <w:rFonts w:ascii="仿宋_GB2312" w:eastAsia="仿宋_GB2312" w:hAnsi="宋体" w:cs="宋体" w:hint="eastAsia"/>
          <w:color w:val="000000"/>
          <w:kern w:val="0"/>
          <w:sz w:val="32"/>
          <w:szCs w:val="32"/>
        </w:rPr>
        <w:t>人民</w:t>
      </w:r>
      <w:r w:rsidRPr="00065F52">
        <w:rPr>
          <w:rFonts w:ascii="仿宋_GB2312" w:eastAsia="仿宋_GB2312" w:hAnsi="宋体" w:cs="宋体" w:hint="eastAsia"/>
          <w:color w:val="000000"/>
          <w:kern w:val="0"/>
          <w:sz w:val="32"/>
          <w:szCs w:val="32"/>
        </w:rPr>
        <w:t>合法权益，促进</w:t>
      </w:r>
      <w:r w:rsidR="00F911D4">
        <w:rPr>
          <w:rFonts w:ascii="仿宋_GB2312" w:eastAsia="仿宋_GB2312" w:hAnsi="宋体" w:cs="宋体" w:hint="eastAsia"/>
          <w:color w:val="000000"/>
          <w:kern w:val="0"/>
          <w:sz w:val="32"/>
          <w:szCs w:val="32"/>
        </w:rPr>
        <w:t>青岛</w:t>
      </w:r>
      <w:r w:rsidRPr="00065F52">
        <w:rPr>
          <w:rFonts w:ascii="仿宋_GB2312" w:eastAsia="仿宋_GB2312" w:hAnsi="宋体" w:cs="宋体" w:hint="eastAsia"/>
          <w:color w:val="000000"/>
          <w:kern w:val="0"/>
          <w:sz w:val="32"/>
          <w:szCs w:val="32"/>
        </w:rPr>
        <w:t>安定、健康发展</w:t>
      </w:r>
      <w:r w:rsidR="00304EB9">
        <w:rPr>
          <w:rFonts w:ascii="仿宋_GB2312" w:eastAsia="仿宋_GB2312" w:hAnsi="宋体" w:cs="宋体" w:hint="eastAsia"/>
          <w:color w:val="000000"/>
          <w:kern w:val="0"/>
          <w:sz w:val="32"/>
          <w:szCs w:val="32"/>
        </w:rPr>
        <w:t>；</w:t>
      </w:r>
      <w:r w:rsidRPr="00065F52">
        <w:rPr>
          <w:rFonts w:ascii="仿宋_GB2312" w:eastAsia="仿宋_GB2312" w:hAnsi="宋体" w:cs="宋体" w:hint="eastAsia"/>
          <w:color w:val="000000"/>
          <w:kern w:val="0"/>
          <w:sz w:val="32"/>
          <w:szCs w:val="32"/>
        </w:rPr>
        <w:t>近日，青岛市中级人民法院对2013-2019年全国第三人撤销之诉纠纷案件以及2017-2019年青岛市第三人撤销之诉纠纷案件处理情况进行了全面的总结分析，指出了当前第三人撤销之诉纠纷案件中存在的突出问题，明确了该类纠纷的主要裁判规则，提出了多方预防化解纠纷、维护当事人合法权益的相关建议，</w:t>
      </w:r>
      <w:r w:rsidRPr="00065F52">
        <w:rPr>
          <w:rFonts w:ascii="仿宋_GB2312" w:eastAsia="仿宋_GB2312" w:hAnsi="宋体" w:hint="eastAsia"/>
          <w:sz w:val="32"/>
          <w:szCs w:val="32"/>
        </w:rPr>
        <w:t>为优化市场化、法治化、国际化营商环境</w:t>
      </w:r>
      <w:r w:rsidRPr="00065F52">
        <w:rPr>
          <w:rFonts w:ascii="仿宋_GB2312" w:eastAsia="仿宋_GB2312" w:hAnsi="宋体" w:cs="宋体" w:hint="eastAsia"/>
          <w:color w:val="000000"/>
          <w:kern w:val="0"/>
          <w:sz w:val="32"/>
          <w:szCs w:val="32"/>
        </w:rPr>
        <w:t>、</w:t>
      </w:r>
      <w:r w:rsidRPr="00065F52">
        <w:rPr>
          <w:rFonts w:ascii="仿宋_GB2312" w:eastAsia="仿宋_GB2312" w:hAnsi="宋体" w:hint="eastAsia"/>
          <w:sz w:val="32"/>
          <w:szCs w:val="32"/>
        </w:rPr>
        <w:t>推动</w:t>
      </w:r>
      <w:r w:rsidR="00F911D4">
        <w:rPr>
          <w:rFonts w:ascii="仿宋_GB2312" w:eastAsia="仿宋_GB2312" w:hAnsi="宋体" w:hint="eastAsia"/>
          <w:sz w:val="32"/>
          <w:szCs w:val="32"/>
        </w:rPr>
        <w:t>青岛</w:t>
      </w:r>
      <w:r w:rsidRPr="00065F52">
        <w:rPr>
          <w:rFonts w:ascii="仿宋_GB2312" w:eastAsia="仿宋_GB2312" w:hAnsi="宋体" w:cs="宋体" w:hint="eastAsia"/>
          <w:color w:val="000000"/>
          <w:kern w:val="0"/>
          <w:sz w:val="32"/>
          <w:szCs w:val="32"/>
        </w:rPr>
        <w:t>市场经济</w:t>
      </w:r>
      <w:r w:rsidRPr="00065F52">
        <w:rPr>
          <w:rFonts w:ascii="仿宋_GB2312" w:eastAsia="仿宋_GB2312" w:hAnsi="宋体" w:hint="eastAsia"/>
          <w:sz w:val="32"/>
          <w:szCs w:val="32"/>
        </w:rPr>
        <w:t>高质量发展，</w:t>
      </w:r>
      <w:r w:rsidRPr="00065F52">
        <w:rPr>
          <w:rFonts w:ascii="仿宋_GB2312" w:eastAsia="仿宋_GB2312" w:hAnsi="宋体" w:cs="宋体" w:hint="eastAsia"/>
          <w:color w:val="000000"/>
          <w:kern w:val="0"/>
          <w:sz w:val="32"/>
          <w:szCs w:val="32"/>
        </w:rPr>
        <w:t>维护广大人民群众</w:t>
      </w:r>
      <w:r w:rsidRPr="00065F52">
        <w:rPr>
          <w:rFonts w:ascii="仿宋_GB2312" w:eastAsia="仿宋_GB2312" w:hAnsi="宋体" w:cs="宋体" w:hint="eastAsia"/>
          <w:color w:val="000000"/>
          <w:kern w:val="0"/>
          <w:sz w:val="32"/>
          <w:szCs w:val="32"/>
        </w:rPr>
        <w:lastRenderedPageBreak/>
        <w:t>的根本利益提供有力司法保障。</w:t>
      </w:r>
    </w:p>
    <w:p w:rsidR="001503D0" w:rsidRPr="00065F52" w:rsidRDefault="001503D0" w:rsidP="001503D0">
      <w:pPr>
        <w:snapToGrid w:val="0"/>
        <w:spacing w:line="560" w:lineRule="exact"/>
        <w:ind w:firstLineChars="200" w:firstLine="640"/>
        <w:rPr>
          <w:rFonts w:ascii="仿宋_GB2312" w:eastAsia="仿宋_GB2312" w:hAnsi="宋体" w:cs="宋体"/>
          <w:color w:val="000000"/>
          <w:kern w:val="0"/>
          <w:sz w:val="32"/>
          <w:szCs w:val="32"/>
        </w:rPr>
      </w:pPr>
    </w:p>
    <w:p w:rsidR="001503D0" w:rsidRPr="00065F52" w:rsidRDefault="001503D0" w:rsidP="001503D0">
      <w:pPr>
        <w:spacing w:line="560" w:lineRule="exact"/>
        <w:ind w:firstLineChars="200" w:firstLine="640"/>
        <w:rPr>
          <w:rStyle w:val="NormalCharacter"/>
          <w:rFonts w:ascii="仿宋_GB2312" w:eastAsia="仿宋_GB2312"/>
          <w:sz w:val="32"/>
          <w:szCs w:val="32"/>
        </w:rPr>
      </w:pPr>
    </w:p>
    <w:p w:rsidR="001503D0" w:rsidRPr="00065F52" w:rsidRDefault="001503D0" w:rsidP="001503D0">
      <w:pPr>
        <w:pStyle w:val="1"/>
        <w:spacing w:before="0" w:after="0"/>
        <w:jc w:val="center"/>
        <w:rPr>
          <w:rStyle w:val="NormalCharacter"/>
          <w:rFonts w:ascii="方正小标宋简体" w:eastAsia="方正小标宋简体"/>
          <w:b w:val="0"/>
          <w:sz w:val="32"/>
          <w:szCs w:val="32"/>
        </w:rPr>
      </w:pPr>
      <w:bookmarkStart w:id="102" w:name="_Toc36114036"/>
      <w:r w:rsidRPr="00065F52">
        <w:rPr>
          <w:rStyle w:val="NormalCharacter"/>
          <w:rFonts w:ascii="方正小标宋简体" w:eastAsia="方正小标宋简体" w:hint="eastAsia"/>
          <w:b w:val="0"/>
          <w:sz w:val="32"/>
          <w:szCs w:val="32"/>
        </w:rPr>
        <w:t>第一章 第三人撤销之诉</w:t>
      </w:r>
      <w:proofErr w:type="gramStart"/>
      <w:r w:rsidRPr="00065F52">
        <w:rPr>
          <w:rStyle w:val="NormalCharacter"/>
          <w:rFonts w:ascii="方正小标宋简体" w:eastAsia="方正小标宋简体" w:hint="eastAsia"/>
          <w:b w:val="0"/>
          <w:sz w:val="32"/>
          <w:szCs w:val="32"/>
        </w:rPr>
        <w:t>纠纷审调概况</w:t>
      </w:r>
      <w:bookmarkEnd w:id="102"/>
      <w:proofErr w:type="gramEnd"/>
    </w:p>
    <w:p w:rsidR="001503D0" w:rsidRPr="00065F52" w:rsidRDefault="001503D0" w:rsidP="001503D0">
      <w:pPr>
        <w:pStyle w:val="2"/>
        <w:spacing w:before="0" w:after="0"/>
        <w:ind w:firstLineChars="200" w:firstLine="640"/>
        <w:rPr>
          <w:rStyle w:val="NormalCharacter"/>
          <w:rFonts w:ascii="黑体" w:eastAsia="黑体" w:hAnsi="黑体"/>
          <w:b w:val="0"/>
          <w:bCs w:val="0"/>
        </w:rPr>
      </w:pPr>
      <w:bookmarkStart w:id="103" w:name="_Toc36114037"/>
      <w:r w:rsidRPr="00065F52">
        <w:rPr>
          <w:rStyle w:val="NormalCharacter"/>
          <w:rFonts w:ascii="黑体" w:eastAsia="黑体" w:hAnsi="黑体" w:hint="eastAsia"/>
          <w:b w:val="0"/>
        </w:rPr>
        <w:t>一</w:t>
      </w:r>
      <w:r w:rsidRPr="00065F52">
        <w:rPr>
          <w:rStyle w:val="NormalCharacter"/>
          <w:rFonts w:ascii="黑体" w:eastAsia="黑体" w:hAnsi="黑体"/>
          <w:b w:val="0"/>
        </w:rPr>
        <w:t>、全国第三人撤销之诉纠纷案件总体态势</w:t>
      </w:r>
      <w:bookmarkEnd w:id="103"/>
    </w:p>
    <w:p w:rsidR="001503D0" w:rsidRPr="00065F52" w:rsidRDefault="001503D0" w:rsidP="001503D0">
      <w:pPr>
        <w:spacing w:line="560" w:lineRule="exact"/>
        <w:ind w:firstLineChars="200" w:firstLine="640"/>
        <w:rPr>
          <w:rStyle w:val="NormalCharacter"/>
          <w:rFonts w:ascii="仿宋_GB2312" w:eastAsia="仿宋_GB2312"/>
          <w:sz w:val="32"/>
          <w:szCs w:val="32"/>
        </w:rPr>
      </w:pPr>
      <w:r w:rsidRPr="00065F52">
        <w:rPr>
          <w:rStyle w:val="NormalCharacter"/>
          <w:rFonts w:ascii="仿宋_GB2312" w:eastAsia="仿宋_GB2312"/>
          <w:sz w:val="32"/>
          <w:szCs w:val="32"/>
        </w:rPr>
        <w:t>以下就</w:t>
      </w:r>
      <w:r w:rsidR="00F911D4">
        <w:rPr>
          <w:rStyle w:val="NormalCharacter"/>
          <w:rFonts w:ascii="仿宋_GB2312" w:eastAsia="仿宋_GB2312" w:hint="eastAsia"/>
          <w:sz w:val="32"/>
          <w:szCs w:val="32"/>
        </w:rPr>
        <w:t>在</w:t>
      </w:r>
      <w:r w:rsidRPr="00065F52">
        <w:rPr>
          <w:rStyle w:val="NormalCharacter"/>
          <w:rFonts w:ascii="仿宋_GB2312" w:eastAsia="仿宋_GB2312"/>
          <w:sz w:val="32"/>
          <w:szCs w:val="32"/>
        </w:rPr>
        <w:t>全国</w:t>
      </w:r>
      <w:r w:rsidR="00F911D4">
        <w:rPr>
          <w:rStyle w:val="NormalCharacter"/>
          <w:rFonts w:ascii="仿宋_GB2312" w:eastAsia="仿宋_GB2312" w:hint="eastAsia"/>
          <w:sz w:val="32"/>
          <w:szCs w:val="32"/>
        </w:rPr>
        <w:t>范围</w:t>
      </w:r>
      <w:r w:rsidRPr="00065F52">
        <w:rPr>
          <w:rStyle w:val="NormalCharacter"/>
          <w:rFonts w:ascii="仿宋_GB2312" w:eastAsia="仿宋_GB2312"/>
          <w:sz w:val="32"/>
          <w:szCs w:val="32"/>
        </w:rPr>
        <w:t>搜索到的24434篇裁判文书</w:t>
      </w:r>
      <w:r w:rsidR="00F6430B" w:rsidRPr="00ED6878">
        <w:rPr>
          <w:rStyle w:val="NormalCharacter"/>
          <w:rFonts w:ascii="仿宋_GB2312" w:eastAsia="仿宋_GB2312" w:hint="eastAsia"/>
          <w:sz w:val="32"/>
          <w:szCs w:val="32"/>
        </w:rPr>
        <w:t>分析</w:t>
      </w:r>
      <w:r w:rsidRPr="00ED6878">
        <w:rPr>
          <w:rStyle w:val="NormalCharacter"/>
          <w:rFonts w:ascii="仿宋_GB2312" w:eastAsia="仿宋_GB2312"/>
          <w:sz w:val="32"/>
          <w:szCs w:val="32"/>
        </w:rPr>
        <w:t>第三</w:t>
      </w:r>
      <w:r w:rsidRPr="00065F52">
        <w:rPr>
          <w:rStyle w:val="NormalCharacter"/>
          <w:rFonts w:ascii="仿宋_GB2312" w:eastAsia="仿宋_GB2312"/>
          <w:sz w:val="32"/>
          <w:szCs w:val="32"/>
        </w:rPr>
        <w:t>人撤销之诉纠纷案件的情况。</w:t>
      </w:r>
    </w:p>
    <w:p w:rsidR="001503D0" w:rsidRPr="00065F52" w:rsidRDefault="001503D0" w:rsidP="001503D0">
      <w:pPr>
        <w:pStyle w:val="Heading2"/>
        <w:numPr>
          <w:ilvl w:val="0"/>
          <w:numId w:val="0"/>
        </w:numPr>
        <w:spacing w:before="0" w:after="0" w:line="560" w:lineRule="exact"/>
        <w:ind w:firstLineChars="200" w:firstLine="640"/>
        <w:rPr>
          <w:rStyle w:val="NormalCharacter"/>
          <w:rFonts w:ascii="仿宋_GB2312" w:eastAsia="仿宋_GB2312"/>
          <w:sz w:val="32"/>
          <w:szCs w:val="32"/>
        </w:rPr>
      </w:pPr>
      <w:r w:rsidRPr="00065F52">
        <w:rPr>
          <w:rStyle w:val="NormalCharacter"/>
          <w:rFonts w:ascii="仿宋_GB2312" w:eastAsia="仿宋_GB2312"/>
          <w:sz w:val="32"/>
          <w:szCs w:val="32"/>
        </w:rPr>
        <w:t>1、</w:t>
      </w:r>
      <w:r w:rsidRPr="00065F52">
        <w:rPr>
          <w:rStyle w:val="NormalCharacter"/>
          <w:rFonts w:ascii="仿宋_GB2312" w:eastAsia="仿宋_GB2312" w:hint="eastAsia"/>
          <w:sz w:val="32"/>
          <w:szCs w:val="32"/>
        </w:rPr>
        <w:t>案件数量分析</w:t>
      </w:r>
    </w:p>
    <w:p w:rsidR="001503D0" w:rsidRPr="00065F52" w:rsidRDefault="001503D0" w:rsidP="001503D0">
      <w:pPr>
        <w:pStyle w:val="Heading2"/>
        <w:numPr>
          <w:ilvl w:val="0"/>
          <w:numId w:val="0"/>
        </w:numPr>
        <w:spacing w:before="0" w:after="0" w:line="560" w:lineRule="exact"/>
        <w:ind w:firstLineChars="200" w:firstLine="640"/>
        <w:rPr>
          <w:rStyle w:val="NormalCharacter"/>
          <w:rFonts w:ascii="仿宋_GB2312" w:eastAsia="仿宋_GB2312"/>
          <w:sz w:val="32"/>
          <w:szCs w:val="32"/>
        </w:rPr>
      </w:pPr>
      <w:r w:rsidRPr="00065F52">
        <w:rPr>
          <w:rStyle w:val="NormalCharacter"/>
          <w:rFonts w:ascii="仿宋_GB2312" w:eastAsia="仿宋_GB2312"/>
          <w:sz w:val="32"/>
          <w:szCs w:val="32"/>
        </w:rPr>
        <w:t>整体情况</w:t>
      </w:r>
      <w:r w:rsidR="00F6430B">
        <w:rPr>
          <w:rStyle w:val="NormalCharacter"/>
          <w:rFonts w:ascii="仿宋_GB2312" w:eastAsia="仿宋_GB2312" w:hint="eastAsia"/>
          <w:sz w:val="32"/>
          <w:szCs w:val="32"/>
        </w:rPr>
        <w:t>上</w:t>
      </w:r>
      <w:r w:rsidRPr="00065F52">
        <w:rPr>
          <w:rStyle w:val="NormalCharacter"/>
          <w:rFonts w:ascii="仿宋_GB2312" w:eastAsia="仿宋_GB2312"/>
          <w:sz w:val="32"/>
          <w:szCs w:val="32"/>
        </w:rPr>
        <w:t>，</w:t>
      </w:r>
      <w:r w:rsidR="00F6430B">
        <w:rPr>
          <w:rStyle w:val="NormalCharacter"/>
          <w:rFonts w:ascii="仿宋_GB2312" w:eastAsia="仿宋_GB2312" w:hint="eastAsia"/>
          <w:sz w:val="32"/>
          <w:szCs w:val="32"/>
        </w:rPr>
        <w:t>从公开的裁判文书看，</w:t>
      </w:r>
      <w:r w:rsidRPr="00065F52">
        <w:rPr>
          <w:rStyle w:val="NormalCharacter"/>
          <w:rFonts w:ascii="仿宋_GB2312" w:eastAsia="仿宋_GB2312"/>
          <w:sz w:val="32"/>
          <w:szCs w:val="32"/>
        </w:rPr>
        <w:t>案例数量基本呈逐年增长趋势。</w:t>
      </w:r>
    </w:p>
    <w:p w:rsidR="001503D0" w:rsidRPr="00065F52" w:rsidRDefault="00842E27" w:rsidP="001503D0">
      <w:pPr>
        <w:rPr>
          <w:rStyle w:val="NormalCharacter"/>
        </w:rPr>
      </w:pPr>
      <w:r w:rsidRPr="00842E27">
        <w:rPr>
          <w:rStyle w:val="NormalCharacter"/>
        </w:rPr>
        <w:pict>
          <v:shape id=" 12" o:spid="_x0000_s1080" style="position:absolute;left:0;text-align:left;margin-left:0;margin-top:0;width:50pt;height:50pt;z-index:251691008;visibility:hidden" coordsize="21600,21600" o:spt="1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" adj="0,,0" path="" filled="f" stroked="f">
            <v:stroke joinstyle="round"/>
            <v:formulas/>
            <v:path arrowok="t" o:connecttype="segments"/>
          </v:shape>
        </w:pict>
      </w:r>
    </w:p>
    <w:p w:rsidR="001503D0" w:rsidRPr="00065F52" w:rsidRDefault="001503D0" w:rsidP="001503D0">
      <w:pPr>
        <w:rPr>
          <w:rStyle w:val="NormalCharacter"/>
        </w:rPr>
      </w:pPr>
      <w:r w:rsidRPr="00065F52">
        <w:rPr>
          <w:noProof/>
        </w:rPr>
        <w:drawing>
          <wp:inline distT="0" distB="0" distL="114300" distR="114300">
            <wp:extent cx="4076700" cy="241300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5" cstate="print"/>
                    <a:srcRect t="8873"/>
                    <a:stretch>
                      <a:fillRect/>
                    </a:stretch>
                  </pic:blipFill>
                  <pic:spPr>
                    <a:xfrm>
                      <a:off x="0" y="0"/>
                      <a:ext cx="4076700" cy="2413000"/>
                    </a:xfrm>
                    <a:prstGeom prst="rect">
                      <a:avLst/>
                    </a:prstGeom>
                    <a:noFill/>
                    <a:ln>
                      <a:noFill/>
                    </a:ln>
                  </pic:spPr>
                </pic:pic>
              </a:graphicData>
            </a:graphic>
          </wp:inline>
        </w:drawing>
      </w:r>
    </w:p>
    <w:p w:rsidR="001503D0" w:rsidRPr="00065F52" w:rsidRDefault="001503D0" w:rsidP="001503D0">
      <w:pPr>
        <w:spacing w:line="560" w:lineRule="exact"/>
        <w:rPr>
          <w:rStyle w:val="NormalCharacter"/>
          <w:rFonts w:ascii="仿宋_GB2312" w:eastAsia="仿宋_GB2312"/>
          <w:bCs/>
          <w:sz w:val="32"/>
          <w:szCs w:val="32"/>
        </w:rPr>
      </w:pPr>
      <w:r w:rsidRPr="00065F52">
        <w:rPr>
          <w:rStyle w:val="NormalCharacter"/>
          <w:rFonts w:ascii="仿宋_GB2312" w:eastAsia="仿宋_GB2312" w:hint="eastAsia"/>
          <w:bCs/>
          <w:sz w:val="32"/>
          <w:szCs w:val="32"/>
        </w:rPr>
        <w:t xml:space="preserve">    2、案件所涉行业分布情况</w:t>
      </w:r>
    </w:p>
    <w:p w:rsidR="001503D0" w:rsidRPr="00065F52" w:rsidRDefault="001503D0" w:rsidP="00F6430B">
      <w:pPr>
        <w:spacing w:line="560" w:lineRule="exact"/>
        <w:ind w:firstLineChars="200" w:firstLine="640"/>
        <w:rPr>
          <w:rStyle w:val="NormalCharacter"/>
          <w:rFonts w:ascii="仿宋_GB2312" w:eastAsia="仿宋_GB2312"/>
          <w:bCs/>
          <w:sz w:val="32"/>
          <w:szCs w:val="32"/>
        </w:rPr>
      </w:pPr>
      <w:r w:rsidRPr="00065F52">
        <w:rPr>
          <w:rStyle w:val="NormalCharacter"/>
          <w:rFonts w:ascii="仿宋_GB2312" w:eastAsia="仿宋_GB2312"/>
          <w:bCs/>
          <w:sz w:val="32"/>
          <w:szCs w:val="32"/>
        </w:rPr>
        <w:t>从</w:t>
      </w:r>
      <w:r w:rsidRPr="00065F52">
        <w:rPr>
          <w:rStyle w:val="NormalCharacter"/>
          <w:rFonts w:ascii="仿宋_GB2312" w:eastAsia="仿宋_GB2312" w:hint="eastAsia"/>
          <w:bCs/>
          <w:sz w:val="32"/>
          <w:szCs w:val="32"/>
        </w:rPr>
        <w:t>涉及的行业分布</w:t>
      </w:r>
      <w:r w:rsidRPr="00065F52">
        <w:rPr>
          <w:rStyle w:val="NormalCharacter"/>
          <w:rFonts w:ascii="仿宋_GB2312" w:eastAsia="仿宋_GB2312"/>
          <w:bCs/>
          <w:sz w:val="32"/>
          <w:szCs w:val="32"/>
        </w:rPr>
        <w:t>来看，</w:t>
      </w:r>
      <w:r w:rsidRPr="00065F52">
        <w:rPr>
          <w:rStyle w:val="NormalCharacter"/>
          <w:rFonts w:ascii="仿宋_GB2312" w:eastAsia="仿宋_GB2312" w:hint="eastAsia"/>
          <w:bCs/>
          <w:sz w:val="32"/>
          <w:szCs w:val="32"/>
        </w:rPr>
        <w:t>以房地产业居多</w:t>
      </w:r>
      <w:r w:rsidRPr="00065F52">
        <w:rPr>
          <w:rStyle w:val="NormalCharacter"/>
          <w:rFonts w:ascii="仿宋_GB2312" w:eastAsia="仿宋_GB2312"/>
          <w:bCs/>
          <w:sz w:val="32"/>
          <w:szCs w:val="32"/>
        </w:rPr>
        <w:t>，</w:t>
      </w:r>
      <w:r w:rsidRPr="00065F52">
        <w:rPr>
          <w:rStyle w:val="NormalCharacter"/>
          <w:rFonts w:ascii="仿宋_GB2312" w:eastAsia="仿宋_GB2312" w:hint="eastAsia"/>
          <w:bCs/>
          <w:sz w:val="32"/>
          <w:szCs w:val="32"/>
        </w:rPr>
        <w:t>金融业、批发零售业、建筑业、制造业也占有不少比例。</w:t>
      </w:r>
    </w:p>
    <w:p w:rsidR="001503D0" w:rsidRPr="00065F52" w:rsidRDefault="001503D0" w:rsidP="001503D0">
      <w:pPr>
        <w:spacing w:line="360" w:lineRule="auto"/>
        <w:rPr>
          <w:rStyle w:val="NormalCharacter"/>
        </w:rPr>
      </w:pPr>
    </w:p>
    <w:p w:rsidR="001503D0" w:rsidRPr="00065F52" w:rsidRDefault="001503D0" w:rsidP="001503D0">
      <w:pPr>
        <w:spacing w:line="360" w:lineRule="auto"/>
        <w:rPr>
          <w:rStyle w:val="NormalCharacter"/>
        </w:rPr>
      </w:pPr>
      <w:r w:rsidRPr="00065F52">
        <w:rPr>
          <w:rStyle w:val="NormalCharacter"/>
          <w:rFonts w:ascii="仿宋_GB2312" w:eastAsia="仿宋_GB2312" w:hint="eastAsia"/>
          <w:bCs/>
          <w:noProof/>
          <w:sz w:val="32"/>
          <w:szCs w:val="32"/>
        </w:rPr>
        <w:lastRenderedPageBreak/>
        <w:drawing>
          <wp:inline distT="0" distB="0" distL="114300" distR="114300">
            <wp:extent cx="4517390" cy="2583815"/>
            <wp:effectExtent l="0" t="0" r="3810" b="6985"/>
            <wp:docPr id="5" name="图片 7" descr="052db1db9837327b4acf520fd5503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052db1db9837327b4acf520fd5503ad"/>
                    <pic:cNvPicPr>
                      <a:picLocks noChangeAspect="1"/>
                    </pic:cNvPicPr>
                  </pic:nvPicPr>
                  <pic:blipFill>
                    <a:blip r:embed="rId16" cstate="print"/>
                    <a:stretch>
                      <a:fillRect/>
                    </a:stretch>
                  </pic:blipFill>
                  <pic:spPr>
                    <a:xfrm>
                      <a:off x="0" y="0"/>
                      <a:ext cx="4517390" cy="2583815"/>
                    </a:xfrm>
                    <a:prstGeom prst="rect">
                      <a:avLst/>
                    </a:prstGeom>
                  </pic:spPr>
                </pic:pic>
              </a:graphicData>
            </a:graphic>
          </wp:inline>
        </w:drawing>
      </w:r>
    </w:p>
    <w:p w:rsidR="001503D0" w:rsidRPr="00065F52" w:rsidRDefault="001503D0" w:rsidP="001503D0">
      <w:pPr>
        <w:rPr>
          <w:rStyle w:val="NormalCharacter"/>
          <w:rFonts w:ascii="仿宋_GB2312" w:eastAsia="仿宋_GB2312"/>
          <w:bCs/>
          <w:sz w:val="32"/>
          <w:szCs w:val="32"/>
        </w:rPr>
      </w:pPr>
      <w:r w:rsidRPr="00065F52">
        <w:rPr>
          <w:rStyle w:val="NormalCharacter"/>
          <w:rFonts w:ascii="仿宋_GB2312" w:eastAsia="仿宋_GB2312" w:hint="eastAsia"/>
          <w:bCs/>
          <w:sz w:val="32"/>
          <w:szCs w:val="32"/>
        </w:rPr>
        <w:t xml:space="preserve">    3、裁判结果分析</w:t>
      </w:r>
    </w:p>
    <w:p w:rsidR="001503D0" w:rsidRPr="00065F52" w:rsidRDefault="001503D0" w:rsidP="005F55B3">
      <w:pPr>
        <w:ind w:firstLineChars="200" w:firstLine="640"/>
        <w:rPr>
          <w:rStyle w:val="NormalCharacter"/>
          <w:rFonts w:ascii="仿宋_GB2312" w:eastAsia="仿宋_GB2312"/>
          <w:bCs/>
          <w:sz w:val="32"/>
          <w:szCs w:val="32"/>
        </w:rPr>
      </w:pPr>
      <w:r w:rsidRPr="00065F52">
        <w:rPr>
          <w:rStyle w:val="NormalCharacter"/>
          <w:rFonts w:ascii="仿宋_GB2312" w:eastAsia="仿宋_GB2312"/>
          <w:bCs/>
          <w:sz w:val="32"/>
          <w:szCs w:val="32"/>
        </w:rPr>
        <w:t>从裁判结果来看，</w:t>
      </w:r>
      <w:r w:rsidRPr="00065F52">
        <w:rPr>
          <w:rStyle w:val="NormalCharacter"/>
          <w:rFonts w:ascii="仿宋_GB2312" w:eastAsia="仿宋_GB2312" w:hint="eastAsia"/>
          <w:bCs/>
          <w:sz w:val="32"/>
          <w:szCs w:val="32"/>
        </w:rPr>
        <w:t>一审程序中，驳回诉讼请求的1950件，占比9.8%；驳回起诉的1733件，占比8.8%；判决支持的1771件，占比8.9%；撤诉或按撤诉处理的1879件，占比9.5%；不予受理的824件，占比4.1%；二审和再审程序中，维持原判的7625件，占比 38.3%；改判的1342件，占比6.7%；发回重审的532件，占比2.7%；提审或按指令审理的232件，占比1.2%，其他情形如尚未审结的1997件，占比10%。</w:t>
      </w:r>
    </w:p>
    <w:p w:rsidR="001503D0" w:rsidRPr="00065F52" w:rsidRDefault="001503D0" w:rsidP="001503D0">
      <w:pPr>
        <w:ind w:leftChars="200" w:left="420"/>
        <w:rPr>
          <w:rStyle w:val="NormalCharacter"/>
          <w:rFonts w:ascii="仿宋_GB2312" w:eastAsia="仿宋_GB2312"/>
          <w:bCs/>
          <w:sz w:val="32"/>
          <w:szCs w:val="32"/>
        </w:rPr>
      </w:pPr>
      <w:r w:rsidRPr="00065F52">
        <w:rPr>
          <w:noProof/>
        </w:rPr>
        <w:drawing>
          <wp:inline distT="0" distB="0" distL="114300" distR="114300">
            <wp:extent cx="4057650" cy="2336800"/>
            <wp:effectExtent l="0" t="0" r="6350" b="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7" cstate="print"/>
                    <a:srcRect t="9136"/>
                    <a:stretch>
                      <a:fillRect/>
                    </a:stretch>
                  </pic:blipFill>
                  <pic:spPr>
                    <a:xfrm>
                      <a:off x="0" y="0"/>
                      <a:ext cx="4057650" cy="2336800"/>
                    </a:xfrm>
                    <a:prstGeom prst="rect">
                      <a:avLst/>
                    </a:prstGeom>
                    <a:noFill/>
                    <a:ln>
                      <a:noFill/>
                    </a:ln>
                  </pic:spPr>
                </pic:pic>
              </a:graphicData>
            </a:graphic>
          </wp:inline>
        </w:drawing>
      </w:r>
    </w:p>
    <w:p w:rsidR="001503D0" w:rsidRPr="00065F52" w:rsidRDefault="001503D0" w:rsidP="001503D0">
      <w:pPr>
        <w:pStyle w:val="2"/>
        <w:spacing w:before="0" w:after="0"/>
        <w:ind w:firstLineChars="200" w:firstLine="640"/>
        <w:rPr>
          <w:rStyle w:val="NormalCharacter"/>
          <w:rFonts w:ascii="黑体" w:eastAsia="黑体" w:hAnsi="黑体"/>
          <w:b w:val="0"/>
          <w:bCs w:val="0"/>
        </w:rPr>
      </w:pPr>
      <w:bookmarkStart w:id="104" w:name="_Toc36114038"/>
      <w:r w:rsidRPr="00065F52">
        <w:rPr>
          <w:rStyle w:val="NormalCharacter"/>
          <w:rFonts w:ascii="黑体" w:eastAsia="黑体" w:hAnsi="黑体"/>
          <w:b w:val="0"/>
        </w:rPr>
        <w:lastRenderedPageBreak/>
        <w:t>二</w:t>
      </w:r>
      <w:r w:rsidRPr="00065F52">
        <w:rPr>
          <w:rStyle w:val="NormalCharacter"/>
          <w:rFonts w:ascii="黑体" w:eastAsia="黑体" w:hAnsi="黑体" w:hint="eastAsia"/>
          <w:b w:val="0"/>
        </w:rPr>
        <w:t>、</w:t>
      </w:r>
      <w:r w:rsidRPr="00065F52">
        <w:rPr>
          <w:rStyle w:val="NormalCharacter"/>
          <w:rFonts w:ascii="黑体" w:eastAsia="黑体" w:hAnsi="黑体"/>
          <w:b w:val="0"/>
        </w:rPr>
        <w:t>青岛市第三人撤销之诉纠纷案件总体态势</w:t>
      </w:r>
      <w:bookmarkEnd w:id="104"/>
    </w:p>
    <w:p w:rsidR="001503D0" w:rsidRPr="00065F52" w:rsidRDefault="001503D0" w:rsidP="001503D0">
      <w:pPr>
        <w:spacing w:line="560" w:lineRule="exact"/>
        <w:ind w:firstLineChars="200" w:firstLine="640"/>
        <w:rPr>
          <w:rStyle w:val="NormalCharacter"/>
          <w:rFonts w:ascii="仿宋_GB2312" w:eastAsia="仿宋_GB2312"/>
          <w:bCs/>
          <w:sz w:val="32"/>
          <w:szCs w:val="32"/>
        </w:rPr>
      </w:pPr>
      <w:r w:rsidRPr="00065F52">
        <w:rPr>
          <w:rStyle w:val="NormalCharacter"/>
          <w:rFonts w:ascii="仿宋_GB2312" w:eastAsia="仿宋_GB2312"/>
          <w:bCs/>
          <w:sz w:val="32"/>
          <w:szCs w:val="32"/>
        </w:rPr>
        <w:t>1、</w:t>
      </w:r>
      <w:r w:rsidRPr="00065F52">
        <w:rPr>
          <w:rStyle w:val="NormalCharacter"/>
          <w:rFonts w:ascii="仿宋_GB2312" w:eastAsia="仿宋_GB2312" w:hint="eastAsia"/>
          <w:bCs/>
          <w:sz w:val="32"/>
          <w:szCs w:val="32"/>
        </w:rPr>
        <w:t>收案情况分析</w:t>
      </w:r>
    </w:p>
    <w:p w:rsidR="001503D0" w:rsidRPr="00065F52" w:rsidRDefault="001503D0" w:rsidP="001503D0">
      <w:pPr>
        <w:spacing w:line="560" w:lineRule="exact"/>
        <w:ind w:firstLineChars="200" w:firstLine="640"/>
        <w:rPr>
          <w:rStyle w:val="NormalCharacter"/>
          <w:rFonts w:ascii="仿宋_GB2312" w:eastAsia="仿宋_GB2312"/>
          <w:bCs/>
          <w:color w:val="000000" w:themeColor="text1"/>
          <w:sz w:val="32"/>
          <w:szCs w:val="32"/>
          <w:vertAlign w:val="superscript"/>
        </w:rPr>
      </w:pPr>
      <w:r w:rsidRPr="00065F52">
        <w:rPr>
          <w:rStyle w:val="NormalCharacter"/>
          <w:rFonts w:ascii="仿宋_GB2312" w:eastAsia="仿宋_GB2312"/>
          <w:bCs/>
          <w:sz w:val="32"/>
          <w:szCs w:val="32"/>
        </w:rPr>
        <w:t>从收案数统计情况看，201</w:t>
      </w:r>
      <w:r w:rsidRPr="00065F52">
        <w:rPr>
          <w:rStyle w:val="NormalCharacter"/>
          <w:rFonts w:ascii="仿宋_GB2312" w:eastAsia="仿宋_GB2312" w:hint="eastAsia"/>
          <w:bCs/>
          <w:sz w:val="32"/>
          <w:szCs w:val="32"/>
        </w:rPr>
        <w:t>7</w:t>
      </w:r>
      <w:r w:rsidRPr="00065F52">
        <w:rPr>
          <w:rStyle w:val="NormalCharacter"/>
          <w:rFonts w:ascii="仿宋_GB2312" w:eastAsia="仿宋_GB2312"/>
          <w:bCs/>
          <w:sz w:val="32"/>
          <w:szCs w:val="32"/>
        </w:rPr>
        <w:t>年至2019年，</w:t>
      </w:r>
      <w:r w:rsidR="00AB3362">
        <w:rPr>
          <w:rStyle w:val="NormalCharacter"/>
          <w:rFonts w:ascii="仿宋_GB2312" w:eastAsia="仿宋_GB2312" w:hint="eastAsia"/>
          <w:bCs/>
          <w:sz w:val="32"/>
          <w:szCs w:val="32"/>
        </w:rPr>
        <w:t>青岛</w:t>
      </w:r>
      <w:r w:rsidR="004B7EF8">
        <w:rPr>
          <w:rStyle w:val="NormalCharacter"/>
          <w:rFonts w:ascii="仿宋_GB2312" w:eastAsia="仿宋_GB2312" w:hint="eastAsia"/>
          <w:bCs/>
          <w:color w:val="000000" w:themeColor="text1"/>
          <w:sz w:val="32"/>
          <w:szCs w:val="32"/>
        </w:rPr>
        <w:t>两级</w:t>
      </w:r>
      <w:r w:rsidRPr="00065F52">
        <w:rPr>
          <w:rStyle w:val="NormalCharacter"/>
          <w:rFonts w:ascii="仿宋_GB2312" w:eastAsia="仿宋_GB2312"/>
          <w:bCs/>
          <w:color w:val="000000" w:themeColor="text1"/>
          <w:sz w:val="32"/>
          <w:szCs w:val="32"/>
        </w:rPr>
        <w:t>法院共受理第三人撤销之诉纠纷案件</w:t>
      </w:r>
      <w:r w:rsidRPr="00065F52">
        <w:rPr>
          <w:rStyle w:val="NormalCharacter"/>
          <w:rFonts w:ascii="仿宋_GB2312" w:eastAsia="仿宋_GB2312" w:hint="eastAsia"/>
          <w:bCs/>
          <w:color w:val="000000" w:themeColor="text1"/>
          <w:sz w:val="32"/>
          <w:szCs w:val="32"/>
        </w:rPr>
        <w:t>119</w:t>
      </w:r>
      <w:r w:rsidRPr="00065F52">
        <w:rPr>
          <w:rStyle w:val="NormalCharacter"/>
          <w:rFonts w:ascii="仿宋_GB2312" w:eastAsia="仿宋_GB2312"/>
          <w:bCs/>
          <w:color w:val="000000" w:themeColor="text1"/>
          <w:sz w:val="32"/>
          <w:szCs w:val="32"/>
        </w:rPr>
        <w:t>件，分别是：</w:t>
      </w:r>
      <w:r w:rsidRPr="00065F52">
        <w:rPr>
          <w:rStyle w:val="NormalCharacter"/>
          <w:rFonts w:ascii="仿宋_GB2312" w:eastAsia="仿宋_GB2312"/>
          <w:color w:val="000000" w:themeColor="text1"/>
          <w:sz w:val="32"/>
          <w:szCs w:val="32"/>
        </w:rPr>
        <w:t>2017年</w:t>
      </w:r>
      <w:r w:rsidRPr="00065F52">
        <w:rPr>
          <w:rStyle w:val="NormalCharacter"/>
          <w:rFonts w:ascii="仿宋_GB2312" w:eastAsia="仿宋_GB2312" w:hint="eastAsia"/>
          <w:color w:val="000000" w:themeColor="text1"/>
          <w:sz w:val="32"/>
          <w:szCs w:val="32"/>
        </w:rPr>
        <w:t>26</w:t>
      </w:r>
      <w:r w:rsidRPr="00065F52">
        <w:rPr>
          <w:rStyle w:val="NormalCharacter"/>
          <w:rFonts w:ascii="仿宋_GB2312" w:eastAsia="仿宋_GB2312"/>
          <w:color w:val="000000" w:themeColor="text1"/>
          <w:sz w:val="32"/>
          <w:szCs w:val="32"/>
        </w:rPr>
        <w:t>件，2018年</w:t>
      </w:r>
      <w:r w:rsidRPr="00065F52">
        <w:rPr>
          <w:rStyle w:val="NormalCharacter"/>
          <w:rFonts w:ascii="仿宋_GB2312" w:eastAsia="仿宋_GB2312" w:hint="eastAsia"/>
          <w:color w:val="000000" w:themeColor="text1"/>
          <w:sz w:val="32"/>
          <w:szCs w:val="32"/>
        </w:rPr>
        <w:t>30</w:t>
      </w:r>
      <w:r w:rsidRPr="00065F52">
        <w:rPr>
          <w:rStyle w:val="NormalCharacter"/>
          <w:rFonts w:ascii="仿宋_GB2312" w:eastAsia="仿宋_GB2312"/>
          <w:color w:val="000000" w:themeColor="text1"/>
          <w:sz w:val="32"/>
          <w:szCs w:val="32"/>
        </w:rPr>
        <w:t>件，2019年</w:t>
      </w:r>
      <w:r w:rsidRPr="00065F52">
        <w:rPr>
          <w:rStyle w:val="NormalCharacter"/>
          <w:rFonts w:ascii="仿宋_GB2312" w:eastAsia="仿宋_GB2312" w:hint="eastAsia"/>
          <w:color w:val="000000" w:themeColor="text1"/>
          <w:sz w:val="32"/>
          <w:szCs w:val="32"/>
        </w:rPr>
        <w:t>63</w:t>
      </w:r>
      <w:r w:rsidRPr="00065F52">
        <w:rPr>
          <w:rStyle w:val="NormalCharacter"/>
          <w:rFonts w:ascii="仿宋_GB2312" w:eastAsia="仿宋_GB2312"/>
          <w:color w:val="000000" w:themeColor="text1"/>
          <w:sz w:val="32"/>
          <w:szCs w:val="32"/>
        </w:rPr>
        <w:t>件。</w:t>
      </w:r>
      <w:r w:rsidRPr="00065F52">
        <w:rPr>
          <w:rStyle w:val="NormalCharacter"/>
          <w:rFonts w:ascii="仿宋_GB2312" w:eastAsia="仿宋_GB2312" w:hint="eastAsia"/>
          <w:color w:val="000000" w:themeColor="text1"/>
          <w:sz w:val="32"/>
          <w:szCs w:val="32"/>
        </w:rPr>
        <w:t>因第三人撤销</w:t>
      </w:r>
      <w:proofErr w:type="gramStart"/>
      <w:r w:rsidRPr="00065F52">
        <w:rPr>
          <w:rStyle w:val="NormalCharacter"/>
          <w:rFonts w:ascii="仿宋_GB2312" w:eastAsia="仿宋_GB2312" w:hint="eastAsia"/>
          <w:color w:val="000000" w:themeColor="text1"/>
          <w:sz w:val="32"/>
          <w:szCs w:val="32"/>
        </w:rPr>
        <w:t>之诉系2012年</w:t>
      </w:r>
      <w:proofErr w:type="gramEnd"/>
      <w:r w:rsidRPr="00065F52">
        <w:rPr>
          <w:rStyle w:val="NormalCharacter"/>
          <w:rFonts w:ascii="仿宋_GB2312" w:eastAsia="仿宋_GB2312" w:hint="eastAsia"/>
          <w:color w:val="000000" w:themeColor="text1"/>
          <w:sz w:val="32"/>
          <w:szCs w:val="32"/>
        </w:rPr>
        <w:t>新创设的制度，推行较晚，虽总体数量不多，但自2019年以来已成迅猛增长态势，已然成为第三人寻求权利救济的重要途径。</w:t>
      </w:r>
    </w:p>
    <w:p w:rsidR="001503D0" w:rsidRPr="00065F52" w:rsidRDefault="001503D0" w:rsidP="001503D0">
      <w:pPr>
        <w:spacing w:line="560" w:lineRule="exact"/>
        <w:rPr>
          <w:rStyle w:val="NormalCharacter"/>
          <w:color w:val="FF0000"/>
        </w:rPr>
      </w:pPr>
    </w:p>
    <w:p w:rsidR="001503D0" w:rsidRPr="00065F52" w:rsidRDefault="001503D0" w:rsidP="001503D0">
      <w:pPr>
        <w:ind w:firstLineChars="200" w:firstLine="420"/>
      </w:pPr>
      <w:r w:rsidRPr="00065F52">
        <w:rPr>
          <w:noProof/>
        </w:rPr>
        <w:drawing>
          <wp:inline distT="0" distB="0" distL="114300" distR="114300">
            <wp:extent cx="4742180" cy="2620010"/>
            <wp:effectExtent l="0" t="0" r="7620" b="889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8" cstate="print"/>
                    <a:srcRect t="9108" b="9198"/>
                    <a:stretch>
                      <a:fillRect/>
                    </a:stretch>
                  </pic:blipFill>
                  <pic:spPr>
                    <a:xfrm>
                      <a:off x="0" y="0"/>
                      <a:ext cx="4742180" cy="2620010"/>
                    </a:xfrm>
                    <a:prstGeom prst="rect">
                      <a:avLst/>
                    </a:prstGeom>
                    <a:noFill/>
                    <a:ln>
                      <a:noFill/>
                    </a:ln>
                  </pic:spPr>
                </pic:pic>
              </a:graphicData>
            </a:graphic>
          </wp:inline>
        </w:drawing>
      </w:r>
    </w:p>
    <w:p w:rsidR="001503D0" w:rsidRPr="00065F52" w:rsidRDefault="001503D0" w:rsidP="001503D0">
      <w:pPr>
        <w:ind w:firstLineChars="200" w:firstLine="420"/>
      </w:pPr>
    </w:p>
    <w:p w:rsidR="001503D0" w:rsidRPr="00065F52" w:rsidRDefault="001503D0" w:rsidP="001503D0">
      <w:pPr>
        <w:rPr>
          <w:rStyle w:val="NormalCharacter"/>
          <w:rFonts w:ascii="仿宋_GB2312" w:eastAsia="仿宋_GB2312"/>
          <w:bCs/>
          <w:sz w:val="32"/>
          <w:szCs w:val="32"/>
        </w:rPr>
      </w:pPr>
      <w:r w:rsidRPr="00065F52">
        <w:rPr>
          <w:rStyle w:val="NormalCharacter"/>
          <w:rFonts w:ascii="仿宋_GB2312" w:eastAsia="仿宋_GB2312" w:hint="eastAsia"/>
          <w:bCs/>
          <w:sz w:val="32"/>
          <w:szCs w:val="32"/>
        </w:rPr>
        <w:t xml:space="preserve">    2、原诉所涉案由分析</w:t>
      </w:r>
    </w:p>
    <w:p w:rsidR="001503D0" w:rsidRPr="00065F52" w:rsidRDefault="001503D0" w:rsidP="00AB3362">
      <w:pPr>
        <w:ind w:firstLineChars="150" w:firstLine="480"/>
        <w:rPr>
          <w:rStyle w:val="NormalCharacter"/>
          <w:rFonts w:ascii="仿宋_GB2312" w:eastAsia="仿宋_GB2312"/>
          <w:bCs/>
          <w:sz w:val="32"/>
          <w:szCs w:val="32"/>
        </w:rPr>
      </w:pPr>
      <w:r w:rsidRPr="00065F52">
        <w:rPr>
          <w:rStyle w:val="NormalCharacter"/>
          <w:rFonts w:ascii="仿宋_GB2312" w:eastAsia="仿宋_GB2312" w:hint="eastAsia"/>
          <w:bCs/>
          <w:sz w:val="32"/>
          <w:szCs w:val="32"/>
        </w:rPr>
        <w:t>从原诉涉及的案由看，债权人撤销权纠纷、金融合同借款纠纷</w:t>
      </w:r>
      <w:proofErr w:type="gramStart"/>
      <w:r w:rsidRPr="00065F52">
        <w:rPr>
          <w:rStyle w:val="NormalCharacter"/>
          <w:rFonts w:ascii="仿宋_GB2312" w:eastAsia="仿宋_GB2312" w:hint="eastAsia"/>
          <w:bCs/>
          <w:sz w:val="32"/>
          <w:szCs w:val="32"/>
        </w:rPr>
        <w:t>占比较</w:t>
      </w:r>
      <w:proofErr w:type="gramEnd"/>
      <w:r w:rsidRPr="00065F52">
        <w:rPr>
          <w:rStyle w:val="NormalCharacter"/>
          <w:rFonts w:ascii="仿宋_GB2312" w:eastAsia="仿宋_GB2312" w:hint="eastAsia"/>
          <w:bCs/>
          <w:sz w:val="32"/>
          <w:szCs w:val="32"/>
        </w:rPr>
        <w:t>大，民间借贷纠纷、商品房预售合同纠纷、</w:t>
      </w:r>
      <w:r w:rsidRPr="00065F52">
        <w:rPr>
          <w:rStyle w:val="NormalCharacter"/>
          <w:rFonts w:ascii="仿宋_GB2312" w:eastAsia="仿宋_GB2312" w:hint="eastAsia"/>
          <w:bCs/>
          <w:color w:val="000000" w:themeColor="text1"/>
          <w:sz w:val="32"/>
          <w:szCs w:val="32"/>
        </w:rPr>
        <w:t>申请撤销调解确认决定纠</w:t>
      </w:r>
      <w:r w:rsidRPr="00065F52">
        <w:rPr>
          <w:rStyle w:val="NormalCharacter"/>
          <w:rFonts w:ascii="仿宋_GB2312" w:eastAsia="仿宋_GB2312" w:hint="eastAsia"/>
          <w:bCs/>
          <w:sz w:val="32"/>
          <w:szCs w:val="32"/>
        </w:rPr>
        <w:t>纷也占不少比例。</w:t>
      </w:r>
    </w:p>
    <w:p w:rsidR="001503D0" w:rsidRPr="00065F52" w:rsidRDefault="001503D0" w:rsidP="001503D0">
      <w:pPr>
        <w:ind w:left="580"/>
        <w:rPr>
          <w:rStyle w:val="NormalCharacter"/>
          <w:rFonts w:ascii="仿宋_GB2312" w:eastAsia="仿宋_GB2312"/>
          <w:bCs/>
          <w:sz w:val="32"/>
          <w:szCs w:val="32"/>
        </w:rPr>
      </w:pPr>
      <w:r w:rsidRPr="00065F52">
        <w:rPr>
          <w:rStyle w:val="NormalCharacter"/>
          <w:rFonts w:ascii="仿宋_GB2312" w:eastAsia="仿宋_GB2312" w:hint="eastAsia"/>
          <w:bCs/>
          <w:noProof/>
          <w:sz w:val="32"/>
          <w:szCs w:val="32"/>
        </w:rPr>
        <w:lastRenderedPageBreak/>
        <w:drawing>
          <wp:inline distT="0" distB="0" distL="114300" distR="114300">
            <wp:extent cx="4545330" cy="3061335"/>
            <wp:effectExtent l="0" t="0" r="1270" b="12065"/>
            <wp:docPr id="11" name="图片 2" descr="48d687218d5bbbddeaea029f9ff7b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8d687218d5bbbddeaea029f9ff7b7b"/>
                    <pic:cNvPicPr>
                      <a:picLocks noChangeAspect="1"/>
                    </pic:cNvPicPr>
                  </pic:nvPicPr>
                  <pic:blipFill>
                    <a:blip r:embed="rId19" cstate="print"/>
                    <a:stretch>
                      <a:fillRect/>
                    </a:stretch>
                  </pic:blipFill>
                  <pic:spPr>
                    <a:xfrm>
                      <a:off x="0" y="0"/>
                      <a:ext cx="4545330" cy="3061335"/>
                    </a:xfrm>
                    <a:prstGeom prst="rect">
                      <a:avLst/>
                    </a:prstGeom>
                  </pic:spPr>
                </pic:pic>
              </a:graphicData>
            </a:graphic>
          </wp:inline>
        </w:drawing>
      </w:r>
    </w:p>
    <w:p w:rsidR="001503D0" w:rsidRPr="00065F52" w:rsidRDefault="001503D0" w:rsidP="001503D0">
      <w:pPr>
        <w:ind w:left="580"/>
        <w:rPr>
          <w:rStyle w:val="NormalCharacter"/>
          <w:rFonts w:ascii="仿宋_GB2312" w:eastAsia="仿宋_GB2312"/>
          <w:bCs/>
          <w:sz w:val="32"/>
          <w:szCs w:val="32"/>
        </w:rPr>
      </w:pPr>
    </w:p>
    <w:p w:rsidR="001503D0" w:rsidRPr="00065F52" w:rsidRDefault="001503D0" w:rsidP="001503D0">
      <w:pPr>
        <w:ind w:firstLine="420"/>
        <w:rPr>
          <w:rStyle w:val="NormalCharacter"/>
          <w:rFonts w:ascii="仿宋_GB2312" w:eastAsia="仿宋_GB2312"/>
          <w:bCs/>
          <w:sz w:val="32"/>
          <w:szCs w:val="32"/>
        </w:rPr>
      </w:pPr>
      <w:r w:rsidRPr="00065F52">
        <w:rPr>
          <w:rStyle w:val="NormalCharacter"/>
          <w:rFonts w:ascii="仿宋_GB2312" w:eastAsia="仿宋_GB2312" w:hint="eastAsia"/>
          <w:bCs/>
          <w:sz w:val="32"/>
          <w:szCs w:val="32"/>
        </w:rPr>
        <w:t>3</w:t>
      </w:r>
      <w:r w:rsidRPr="00065F52">
        <w:rPr>
          <w:rStyle w:val="NormalCharacter"/>
          <w:rFonts w:ascii="仿宋_GB2312" w:eastAsia="仿宋_GB2312"/>
          <w:bCs/>
          <w:sz w:val="32"/>
          <w:szCs w:val="32"/>
        </w:rPr>
        <w:t>、</w:t>
      </w:r>
      <w:r w:rsidRPr="00065F52">
        <w:rPr>
          <w:rStyle w:val="NormalCharacter"/>
          <w:rFonts w:ascii="仿宋_GB2312" w:eastAsia="仿宋_GB2312" w:hint="eastAsia"/>
          <w:bCs/>
          <w:sz w:val="32"/>
          <w:szCs w:val="32"/>
        </w:rPr>
        <w:t>裁判结果分析</w:t>
      </w:r>
    </w:p>
    <w:p w:rsidR="001503D0" w:rsidRPr="00065F52" w:rsidRDefault="001503D0" w:rsidP="00AB3362">
      <w:pPr>
        <w:ind w:firstLineChars="200" w:firstLine="640"/>
        <w:rPr>
          <w:rStyle w:val="NormalCharacter"/>
          <w:rFonts w:ascii="仿宋_GB2312" w:eastAsia="仿宋_GB2312"/>
          <w:bCs/>
          <w:sz w:val="32"/>
          <w:szCs w:val="32"/>
        </w:rPr>
      </w:pPr>
      <w:r w:rsidRPr="00065F52">
        <w:rPr>
          <w:rStyle w:val="NormalCharacter"/>
          <w:rFonts w:ascii="仿宋_GB2312" w:eastAsia="仿宋_GB2312"/>
          <w:bCs/>
          <w:sz w:val="32"/>
          <w:szCs w:val="32"/>
        </w:rPr>
        <w:t>从裁判结果看，</w:t>
      </w:r>
      <w:r w:rsidRPr="00065F52">
        <w:rPr>
          <w:rStyle w:val="NormalCharacter"/>
          <w:rFonts w:ascii="仿宋_GB2312" w:eastAsia="仿宋_GB2312" w:hint="eastAsia"/>
          <w:bCs/>
          <w:sz w:val="32"/>
          <w:szCs w:val="32"/>
        </w:rPr>
        <w:t>驳回起诉的32件，占比25.8%；</w:t>
      </w:r>
    </w:p>
    <w:p w:rsidR="001503D0" w:rsidRPr="00065F52" w:rsidRDefault="001503D0" w:rsidP="001503D0">
      <w:pPr>
        <w:rPr>
          <w:rStyle w:val="NormalCharacter"/>
          <w:rFonts w:ascii="仿宋_GB2312" w:eastAsia="仿宋_GB2312"/>
          <w:bCs/>
          <w:sz w:val="32"/>
          <w:szCs w:val="32"/>
        </w:rPr>
      </w:pPr>
      <w:r w:rsidRPr="00065F52">
        <w:rPr>
          <w:rStyle w:val="NormalCharacter"/>
          <w:rFonts w:ascii="仿宋_GB2312" w:eastAsia="仿宋_GB2312" w:hint="eastAsia"/>
          <w:bCs/>
          <w:sz w:val="32"/>
          <w:szCs w:val="32"/>
        </w:rPr>
        <w:t>驳回诉讼请求的13件，占比10.5%；撤诉或按撤诉处理的8件，占比6.5%；判决支持的18件，占比14.4%；二审维持原判的19件，占比15.3%；发回重审的</w:t>
      </w:r>
      <w:r w:rsidRPr="00091D43">
        <w:rPr>
          <w:rStyle w:val="NormalCharacter"/>
          <w:rFonts w:ascii="仿宋_GB2312" w:eastAsia="仿宋_GB2312" w:hint="eastAsia"/>
          <w:bCs/>
          <w:color w:val="000000" w:themeColor="text1"/>
          <w:sz w:val="32"/>
          <w:szCs w:val="32"/>
        </w:rPr>
        <w:t>1件，占比0.8</w:t>
      </w:r>
      <w:r w:rsidR="00851518" w:rsidRPr="00091D43">
        <w:rPr>
          <w:rStyle w:val="NormalCharacter"/>
          <w:rFonts w:ascii="仿宋_GB2312" w:eastAsia="仿宋_GB2312" w:hint="eastAsia"/>
          <w:bCs/>
          <w:color w:val="000000" w:themeColor="text1"/>
          <w:sz w:val="32"/>
          <w:szCs w:val="32"/>
        </w:rPr>
        <w:t>1</w:t>
      </w:r>
      <w:r w:rsidRPr="00091D43">
        <w:rPr>
          <w:rStyle w:val="NormalCharacter"/>
          <w:rFonts w:ascii="仿宋_GB2312" w:eastAsia="仿宋_GB2312" w:hint="eastAsia"/>
          <w:bCs/>
          <w:color w:val="000000" w:themeColor="text1"/>
          <w:sz w:val="32"/>
          <w:szCs w:val="32"/>
        </w:rPr>
        <w:t>%；改判的2件，占比1.6%；指令审理</w:t>
      </w:r>
      <w:r w:rsidR="002F376E">
        <w:rPr>
          <w:rStyle w:val="NormalCharacter"/>
          <w:rFonts w:ascii="仿宋_GB2312" w:eastAsia="仿宋_GB2312" w:hint="eastAsia"/>
          <w:bCs/>
          <w:color w:val="000000" w:themeColor="text1"/>
          <w:sz w:val="32"/>
          <w:szCs w:val="32"/>
        </w:rPr>
        <w:t>的</w:t>
      </w:r>
      <w:r w:rsidRPr="00091D43">
        <w:rPr>
          <w:rStyle w:val="NormalCharacter"/>
          <w:rFonts w:ascii="仿宋_GB2312" w:eastAsia="仿宋_GB2312" w:hint="eastAsia"/>
          <w:bCs/>
          <w:color w:val="000000" w:themeColor="text1"/>
          <w:sz w:val="32"/>
          <w:szCs w:val="32"/>
        </w:rPr>
        <w:t xml:space="preserve">1 </w:t>
      </w:r>
      <w:r w:rsidR="00ED6878" w:rsidRPr="00091D43">
        <w:rPr>
          <w:rStyle w:val="NormalCharacter"/>
          <w:rFonts w:ascii="仿宋_GB2312" w:eastAsia="仿宋_GB2312" w:hint="eastAsia"/>
          <w:bCs/>
          <w:color w:val="000000" w:themeColor="text1"/>
          <w:sz w:val="32"/>
          <w:szCs w:val="32"/>
        </w:rPr>
        <w:t>件，</w:t>
      </w:r>
      <w:r w:rsidRPr="00091D43">
        <w:rPr>
          <w:rStyle w:val="NormalCharacter"/>
          <w:rFonts w:ascii="仿宋_GB2312" w:eastAsia="仿宋_GB2312" w:hint="eastAsia"/>
          <w:bCs/>
          <w:color w:val="000000" w:themeColor="text1"/>
          <w:sz w:val="32"/>
          <w:szCs w:val="32"/>
        </w:rPr>
        <w:t>占比0.81%，</w:t>
      </w:r>
      <w:r w:rsidRPr="00065F52">
        <w:rPr>
          <w:rStyle w:val="NormalCharacter"/>
          <w:rFonts w:ascii="仿宋_GB2312" w:eastAsia="仿宋_GB2312" w:hint="eastAsia"/>
          <w:bCs/>
          <w:sz w:val="32"/>
          <w:szCs w:val="32"/>
        </w:rPr>
        <w:t>其他情形</w:t>
      </w:r>
      <w:r w:rsidR="002F376E">
        <w:rPr>
          <w:rStyle w:val="NormalCharacter"/>
          <w:rFonts w:ascii="仿宋_GB2312" w:eastAsia="仿宋_GB2312" w:hint="eastAsia"/>
          <w:bCs/>
          <w:sz w:val="32"/>
          <w:szCs w:val="32"/>
        </w:rPr>
        <w:t>如尚未审结的</w:t>
      </w:r>
      <w:r w:rsidRPr="00065F52">
        <w:rPr>
          <w:rStyle w:val="NormalCharacter"/>
          <w:rFonts w:ascii="仿宋_GB2312" w:eastAsia="仿宋_GB2312" w:hint="eastAsia"/>
          <w:bCs/>
          <w:sz w:val="32"/>
          <w:szCs w:val="32"/>
        </w:rPr>
        <w:t>30件，占比2</w:t>
      </w:r>
      <w:r w:rsidR="00921E67">
        <w:rPr>
          <w:rStyle w:val="NormalCharacter"/>
          <w:rFonts w:ascii="仿宋_GB2312" w:eastAsia="仿宋_GB2312" w:hint="eastAsia"/>
          <w:bCs/>
          <w:sz w:val="32"/>
          <w:szCs w:val="32"/>
        </w:rPr>
        <w:t>4.28</w:t>
      </w:r>
      <w:r w:rsidRPr="00065F52">
        <w:rPr>
          <w:rStyle w:val="NormalCharacter"/>
          <w:rFonts w:ascii="仿宋_GB2312" w:eastAsia="仿宋_GB2312" w:hint="eastAsia"/>
          <w:bCs/>
          <w:sz w:val="32"/>
          <w:szCs w:val="32"/>
        </w:rPr>
        <w:t>%。</w:t>
      </w:r>
    </w:p>
    <w:p w:rsidR="001503D0" w:rsidRPr="002F376E" w:rsidRDefault="001503D0" w:rsidP="001503D0">
      <w:pPr>
        <w:ind w:firstLine="420"/>
        <w:rPr>
          <w:rStyle w:val="NormalCharacter"/>
          <w:rFonts w:ascii="仿宋_GB2312" w:eastAsia="仿宋_GB2312"/>
          <w:bCs/>
          <w:sz w:val="32"/>
          <w:szCs w:val="32"/>
        </w:rPr>
      </w:pPr>
    </w:p>
    <w:p w:rsidR="001503D0" w:rsidRPr="00065F52" w:rsidRDefault="001503D0" w:rsidP="001503D0">
      <w:pPr>
        <w:ind w:firstLine="420"/>
        <w:rPr>
          <w:rStyle w:val="NormalCharacter"/>
          <w:rFonts w:ascii="仿宋_GB2312" w:eastAsia="仿宋_GB2312"/>
          <w:bCs/>
          <w:sz w:val="32"/>
          <w:szCs w:val="32"/>
        </w:rPr>
      </w:pPr>
    </w:p>
    <w:p w:rsidR="001503D0" w:rsidRPr="00065F52" w:rsidRDefault="001503D0" w:rsidP="001503D0">
      <w:pPr>
        <w:rPr>
          <w:rStyle w:val="NormalCharacter"/>
          <w:rFonts w:ascii="仿宋_GB2312" w:eastAsia="仿宋_GB2312"/>
          <w:sz w:val="44"/>
          <w:szCs w:val="44"/>
        </w:rPr>
      </w:pPr>
      <w:r w:rsidRPr="00065F52">
        <w:rPr>
          <w:noProof/>
        </w:rPr>
        <w:lastRenderedPageBreak/>
        <w:drawing>
          <wp:inline distT="0" distB="0" distL="114300" distR="114300">
            <wp:extent cx="5115560" cy="3060065"/>
            <wp:effectExtent l="0" t="0" r="2540" b="635"/>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0" cstate="print"/>
                    <a:srcRect l="5105" t="9023"/>
                    <a:stretch>
                      <a:fillRect/>
                    </a:stretch>
                  </pic:blipFill>
                  <pic:spPr>
                    <a:xfrm>
                      <a:off x="0" y="0"/>
                      <a:ext cx="5115560" cy="3060065"/>
                    </a:xfrm>
                    <a:prstGeom prst="rect">
                      <a:avLst/>
                    </a:prstGeom>
                    <a:noFill/>
                    <a:ln>
                      <a:noFill/>
                    </a:ln>
                  </pic:spPr>
                </pic:pic>
              </a:graphicData>
            </a:graphic>
          </wp:inline>
        </w:drawing>
      </w:r>
    </w:p>
    <w:p w:rsidR="001503D0" w:rsidRPr="00065F52" w:rsidRDefault="001503D0" w:rsidP="001503D0">
      <w:pPr>
        <w:pStyle w:val="1"/>
        <w:spacing w:before="0" w:after="0"/>
        <w:rPr>
          <w:rStyle w:val="NormalCharacter"/>
          <w:rFonts w:ascii="方正小标宋简体" w:eastAsia="方正小标宋简体"/>
          <w:b w:val="0"/>
          <w:sz w:val="32"/>
          <w:szCs w:val="32"/>
        </w:rPr>
      </w:pPr>
    </w:p>
    <w:p w:rsidR="001503D0" w:rsidRPr="00065F52" w:rsidRDefault="001503D0" w:rsidP="001503D0">
      <w:pPr>
        <w:pStyle w:val="1"/>
        <w:spacing w:before="0" w:after="0"/>
        <w:jc w:val="center"/>
        <w:rPr>
          <w:rStyle w:val="NormalCharacter"/>
          <w:rFonts w:ascii="方正小标宋简体" w:eastAsia="方正小标宋简体"/>
          <w:b w:val="0"/>
          <w:sz w:val="32"/>
          <w:szCs w:val="32"/>
        </w:rPr>
      </w:pPr>
      <w:bookmarkStart w:id="105" w:name="_Toc36114039"/>
      <w:r w:rsidRPr="00065F52">
        <w:rPr>
          <w:rStyle w:val="NormalCharacter"/>
          <w:rFonts w:ascii="方正小标宋简体" w:eastAsia="方正小标宋简体" w:hint="eastAsia"/>
          <w:b w:val="0"/>
          <w:sz w:val="32"/>
          <w:szCs w:val="32"/>
        </w:rPr>
        <w:t>第二章 第三人撤销之诉纠纷案件的特点</w:t>
      </w:r>
      <w:bookmarkEnd w:id="105"/>
    </w:p>
    <w:p w:rsidR="001503D0" w:rsidRPr="00065F52" w:rsidRDefault="001503D0" w:rsidP="001503D0">
      <w:pPr>
        <w:pStyle w:val="2"/>
        <w:spacing w:before="0" w:after="0"/>
        <w:ind w:firstLineChars="200" w:firstLine="640"/>
        <w:rPr>
          <w:rStyle w:val="NormalCharacter"/>
          <w:rFonts w:ascii="黑体" w:eastAsia="黑体" w:hAnsi="黑体"/>
          <w:b w:val="0"/>
        </w:rPr>
      </w:pPr>
      <w:bookmarkStart w:id="106" w:name="_Toc36114040"/>
      <w:r w:rsidRPr="00065F52">
        <w:rPr>
          <w:rStyle w:val="NormalCharacter"/>
          <w:rFonts w:ascii="黑体" w:eastAsia="黑体" w:hAnsi="黑体" w:hint="eastAsia"/>
          <w:b w:val="0"/>
        </w:rPr>
        <w:t>一、立案门槛高、审查标准严</w:t>
      </w:r>
      <w:bookmarkEnd w:id="106"/>
    </w:p>
    <w:p w:rsidR="001503D0" w:rsidRPr="00065F52" w:rsidRDefault="001503D0" w:rsidP="001503D0">
      <w:pPr>
        <w:spacing w:line="560" w:lineRule="exact"/>
        <w:ind w:firstLineChars="200" w:firstLine="640"/>
        <w:rPr>
          <w:rStyle w:val="NormalCharacter"/>
          <w:rFonts w:ascii="仿宋_GB2312" w:eastAsia="仿宋_GB2312"/>
          <w:sz w:val="32"/>
          <w:szCs w:val="32"/>
        </w:rPr>
      </w:pPr>
      <w:r w:rsidRPr="00065F52">
        <w:rPr>
          <w:rStyle w:val="NormalCharacter"/>
          <w:rFonts w:ascii="仿宋_GB2312" w:eastAsia="仿宋_GB2312" w:hint="eastAsia"/>
          <w:sz w:val="32"/>
          <w:szCs w:val="32"/>
        </w:rPr>
        <w:t>第三人撤销</w:t>
      </w:r>
      <w:proofErr w:type="gramStart"/>
      <w:r w:rsidRPr="00065F52">
        <w:rPr>
          <w:rStyle w:val="NormalCharacter"/>
          <w:rFonts w:ascii="仿宋_GB2312" w:eastAsia="仿宋_GB2312" w:hint="eastAsia"/>
          <w:sz w:val="32"/>
          <w:szCs w:val="32"/>
        </w:rPr>
        <w:t>之诉系事后</w:t>
      </w:r>
      <w:proofErr w:type="gramEnd"/>
      <w:r w:rsidRPr="00065F52">
        <w:rPr>
          <w:rStyle w:val="NormalCharacter"/>
          <w:rFonts w:ascii="仿宋_GB2312" w:eastAsia="仿宋_GB2312" w:hint="eastAsia"/>
          <w:sz w:val="32"/>
          <w:szCs w:val="32"/>
        </w:rPr>
        <w:t>启动的纠错程序，涉及生效裁判的既判力和稳定性，是立法者维护司法权威和追求实质正义这两种冲突的价值下权衡抉择的产物, 应力求在两者的冲突中寻找平衡点。因此，第三人向人民法院提起撤销之诉时，不能简单的适用民事诉讼法第</w:t>
      </w:r>
      <w:r w:rsidR="00AB3362">
        <w:rPr>
          <w:rStyle w:val="NormalCharacter"/>
          <w:rFonts w:ascii="仿宋_GB2312" w:eastAsia="仿宋_GB2312" w:hint="eastAsia"/>
          <w:sz w:val="32"/>
          <w:szCs w:val="32"/>
        </w:rPr>
        <w:t>一百一十九</w:t>
      </w:r>
      <w:r w:rsidRPr="00065F52">
        <w:rPr>
          <w:rStyle w:val="NormalCharacter"/>
          <w:rFonts w:ascii="仿宋_GB2312" w:eastAsia="仿宋_GB2312" w:hint="eastAsia"/>
          <w:sz w:val="32"/>
          <w:szCs w:val="32"/>
        </w:rPr>
        <w:t>条所规定的起诉审查条件，第三人除了要提出其诉讼请求外，还必须同时提供证明其主张事实的证据。我国民事诉讼法司法解释第293条规定，人民法院应当在收到起诉状和证据材料之日起五日内送交对方当事人，对方当事人可以自收到起诉状之日起十日内提出书面意见。人民法院应当对第三人提交的起诉状和证据材料以及对方当事人的书面意见进行审查。必要时，可以询问双方当事人。经审查，符合起诉条件的，人民法院应</w:t>
      </w:r>
      <w:r w:rsidRPr="00065F52">
        <w:rPr>
          <w:rStyle w:val="NormalCharacter"/>
          <w:rFonts w:ascii="仿宋_GB2312" w:eastAsia="仿宋_GB2312" w:hint="eastAsia"/>
          <w:sz w:val="32"/>
          <w:szCs w:val="32"/>
        </w:rPr>
        <w:lastRenderedPageBreak/>
        <w:t>当在收到起诉状之日起三十日内立案。不符合起诉条件的，应当在收到起诉状之日起三十日内裁定不予受理。三十日的立案期间，不同于普通民事诉讼的七日立案审查期间，主要是因为需对第三人未参加诉讼的情况及其提交的证据材料进行实质审查，并结合对方当事人的书面意见，全面审查第三人的起诉条件是否符合法律规定。如果第三人提交的证据材料明显不能证明生效裁判文书内容错误、生效裁判内容损害其民事权益的，应不予受理。</w:t>
      </w:r>
    </w:p>
    <w:p w:rsidR="001503D0" w:rsidRPr="00065F52" w:rsidRDefault="001503D0" w:rsidP="001503D0">
      <w:pPr>
        <w:pStyle w:val="2"/>
        <w:spacing w:before="0" w:after="0"/>
        <w:ind w:firstLineChars="200" w:firstLine="640"/>
        <w:rPr>
          <w:rStyle w:val="NormalCharacter"/>
          <w:rFonts w:ascii="黑体" w:eastAsia="黑体" w:hAnsi="黑体"/>
          <w:b w:val="0"/>
        </w:rPr>
      </w:pPr>
      <w:bookmarkStart w:id="107" w:name="_Toc36114041"/>
      <w:r w:rsidRPr="00065F52">
        <w:rPr>
          <w:rStyle w:val="NormalCharacter"/>
          <w:rFonts w:ascii="黑体" w:eastAsia="黑体" w:hAnsi="黑体" w:hint="eastAsia"/>
          <w:b w:val="0"/>
        </w:rPr>
        <w:t>二、启动程序和</w:t>
      </w:r>
      <w:r w:rsidRPr="00065F52">
        <w:rPr>
          <w:rStyle w:val="NormalCharacter"/>
          <w:rFonts w:ascii="黑体" w:eastAsia="黑体" w:hAnsi="黑体"/>
          <w:b w:val="0"/>
        </w:rPr>
        <w:t>诉讼主体资格</w:t>
      </w:r>
      <w:r w:rsidRPr="00065F52">
        <w:rPr>
          <w:rStyle w:val="NormalCharacter"/>
          <w:rFonts w:ascii="黑体" w:eastAsia="黑体" w:hAnsi="黑体" w:hint="eastAsia"/>
          <w:b w:val="0"/>
        </w:rPr>
        <w:t>特定</w:t>
      </w:r>
      <w:bookmarkEnd w:id="107"/>
    </w:p>
    <w:p w:rsidR="001503D0" w:rsidRPr="00065F52" w:rsidRDefault="001503D0" w:rsidP="001503D0">
      <w:pPr>
        <w:spacing w:line="560" w:lineRule="exact"/>
        <w:ind w:firstLineChars="200" w:firstLine="640"/>
        <w:rPr>
          <w:rStyle w:val="NormalCharacter"/>
          <w:rFonts w:ascii="仿宋_GB2312" w:eastAsia="仿宋_GB2312"/>
          <w:sz w:val="32"/>
          <w:szCs w:val="32"/>
        </w:rPr>
      </w:pPr>
      <w:r w:rsidRPr="00065F52">
        <w:rPr>
          <w:rStyle w:val="NormalCharacter"/>
          <w:rFonts w:ascii="仿宋_GB2312" w:eastAsia="仿宋_GB2312" w:hint="eastAsia"/>
          <w:sz w:val="32"/>
          <w:szCs w:val="32"/>
        </w:rPr>
        <w:t>《民事诉讼法》第</w:t>
      </w:r>
      <w:r w:rsidR="00AB3362">
        <w:rPr>
          <w:rStyle w:val="NormalCharacter"/>
          <w:rFonts w:ascii="仿宋_GB2312" w:eastAsia="仿宋_GB2312" w:hint="eastAsia"/>
          <w:sz w:val="32"/>
          <w:szCs w:val="32"/>
        </w:rPr>
        <w:t>五十六</w:t>
      </w:r>
      <w:r w:rsidRPr="00065F52">
        <w:rPr>
          <w:rStyle w:val="NormalCharacter"/>
          <w:rFonts w:ascii="仿宋_GB2312" w:eastAsia="仿宋_GB2312" w:hint="eastAsia"/>
          <w:sz w:val="32"/>
          <w:szCs w:val="32"/>
        </w:rPr>
        <w:t>条前两款规定的诉讼第三</w:t>
      </w:r>
      <w:proofErr w:type="gramStart"/>
      <w:r w:rsidRPr="00065F52">
        <w:rPr>
          <w:rStyle w:val="NormalCharacter"/>
          <w:rFonts w:ascii="仿宋_GB2312" w:eastAsia="仿宋_GB2312" w:hint="eastAsia"/>
          <w:sz w:val="32"/>
          <w:szCs w:val="32"/>
        </w:rPr>
        <w:t>人制度系前置</w:t>
      </w:r>
      <w:proofErr w:type="gramEnd"/>
      <w:r w:rsidRPr="00065F52">
        <w:rPr>
          <w:rStyle w:val="NormalCharacter"/>
          <w:rFonts w:ascii="仿宋_GB2312" w:eastAsia="仿宋_GB2312" w:hint="eastAsia"/>
          <w:sz w:val="32"/>
          <w:szCs w:val="32"/>
        </w:rPr>
        <w:t>性程序保障，是</w:t>
      </w:r>
      <w:proofErr w:type="gramStart"/>
      <w:r w:rsidRPr="00065F52">
        <w:rPr>
          <w:rStyle w:val="NormalCharacter"/>
          <w:rFonts w:ascii="仿宋_GB2312" w:eastAsia="仿宋_GB2312" w:hint="eastAsia"/>
          <w:sz w:val="32"/>
          <w:szCs w:val="32"/>
        </w:rPr>
        <w:t>拓展案</w:t>
      </w:r>
      <w:proofErr w:type="gramEnd"/>
      <w:r w:rsidRPr="00065F52">
        <w:rPr>
          <w:rStyle w:val="NormalCharacter"/>
          <w:rFonts w:ascii="仿宋_GB2312" w:eastAsia="仿宋_GB2312" w:hint="eastAsia"/>
          <w:sz w:val="32"/>
          <w:szCs w:val="32"/>
        </w:rPr>
        <w:t>外人参加他人之诉讼的制度，诉讼第三人参加的是围绕具体的权利纠纷展开的普通民事诉讼程序。而第三人撤销之诉是后置性程序保障，其目的是解除生效裁判对第三人的非正当利益影响</w:t>
      </w:r>
      <w:r w:rsidRPr="00065F52">
        <w:rPr>
          <w:rStyle w:val="NormalCharacter"/>
          <w:rFonts w:ascii="仿宋_GB2312" w:eastAsia="仿宋_GB2312"/>
          <w:sz w:val="32"/>
          <w:szCs w:val="32"/>
        </w:rPr>
        <w:t>，</w:t>
      </w:r>
      <w:r w:rsidRPr="00065F52">
        <w:rPr>
          <w:rStyle w:val="NormalCharacter"/>
          <w:rFonts w:ascii="仿宋_GB2312" w:eastAsia="仿宋_GB2312" w:hint="eastAsia"/>
          <w:sz w:val="32"/>
          <w:szCs w:val="32"/>
        </w:rPr>
        <w:t>其诉讼模式是针对已生效的裁判提起撤销之诉，系事后纠错救济程序，非普通民事诉讼程序。</w:t>
      </w:r>
    </w:p>
    <w:p w:rsidR="001503D0" w:rsidRPr="00065F52" w:rsidRDefault="001503D0" w:rsidP="001503D0">
      <w:pPr>
        <w:spacing w:line="560" w:lineRule="exact"/>
        <w:ind w:firstLineChars="200" w:firstLine="640"/>
        <w:rPr>
          <w:rStyle w:val="NormalCharacter"/>
          <w:rFonts w:ascii="仿宋_GB2312" w:eastAsia="仿宋_GB2312"/>
          <w:sz w:val="32"/>
          <w:szCs w:val="32"/>
        </w:rPr>
      </w:pPr>
      <w:r w:rsidRPr="00065F52">
        <w:rPr>
          <w:rStyle w:val="NormalCharacter"/>
          <w:rFonts w:ascii="仿宋_GB2312" w:eastAsia="仿宋_GB2312" w:hint="eastAsia"/>
          <w:sz w:val="32"/>
          <w:szCs w:val="32"/>
        </w:rPr>
        <w:t>关于原告主体资格问题，</w:t>
      </w:r>
      <w:r w:rsidRPr="00065F52">
        <w:rPr>
          <w:rStyle w:val="NormalCharacter"/>
          <w:rFonts w:ascii="仿宋_GB2312" w:eastAsia="仿宋_GB2312"/>
          <w:sz w:val="32"/>
          <w:szCs w:val="32"/>
        </w:rPr>
        <w:t>根据《民事诉讼法》第五十六条之规定，针对已生效的调解书、裁定书、判决书能够提起第三人撤销之诉的原告，</w:t>
      </w:r>
      <w:r w:rsidRPr="00065F52">
        <w:rPr>
          <w:rStyle w:val="NormalCharacter"/>
          <w:rFonts w:ascii="仿宋_GB2312" w:eastAsia="仿宋_GB2312" w:hint="eastAsia"/>
          <w:sz w:val="32"/>
          <w:szCs w:val="32"/>
        </w:rPr>
        <w:t>是</w:t>
      </w:r>
      <w:r w:rsidR="00AB3362">
        <w:rPr>
          <w:rStyle w:val="NormalCharacter"/>
          <w:rFonts w:ascii="仿宋_GB2312" w:eastAsia="仿宋_GB2312"/>
          <w:sz w:val="32"/>
          <w:szCs w:val="32"/>
        </w:rPr>
        <w:t>有独立请求权的第三人和无独立请求权的第三人</w:t>
      </w:r>
      <w:r w:rsidRPr="00065F52">
        <w:rPr>
          <w:rStyle w:val="NormalCharacter"/>
          <w:rFonts w:ascii="仿宋_GB2312" w:eastAsia="仿宋_GB2312"/>
          <w:sz w:val="32"/>
          <w:szCs w:val="32"/>
        </w:rPr>
        <w:t>两大类。</w:t>
      </w:r>
      <w:r w:rsidRPr="00065F52">
        <w:rPr>
          <w:rStyle w:val="NormalCharacter"/>
          <w:rFonts w:ascii="仿宋_GB2312" w:eastAsia="仿宋_GB2312" w:hint="eastAsia"/>
          <w:sz w:val="32"/>
          <w:szCs w:val="32"/>
        </w:rPr>
        <w:t>该第三人应系因不能归责于本人的事由未参加诉讼，致使其合法权益受损。该第三人是案外第三人，若因生效裁判文书内容错误而受到民事权益损害的主体在之前生效的裁判文书中已经成为诉讼第三人，则不属于第三人撤销之诉</w:t>
      </w:r>
      <w:proofErr w:type="gramStart"/>
      <w:r w:rsidRPr="00065F52">
        <w:rPr>
          <w:rStyle w:val="NormalCharacter"/>
          <w:rFonts w:ascii="仿宋_GB2312" w:eastAsia="仿宋_GB2312" w:hint="eastAsia"/>
          <w:sz w:val="32"/>
          <w:szCs w:val="32"/>
        </w:rPr>
        <w:t>的适格主体</w:t>
      </w:r>
      <w:proofErr w:type="gramEnd"/>
      <w:r w:rsidRPr="00065F52">
        <w:rPr>
          <w:rStyle w:val="NormalCharacter"/>
          <w:rFonts w:ascii="仿宋_GB2312" w:eastAsia="仿宋_GB2312" w:hint="eastAsia"/>
          <w:sz w:val="32"/>
          <w:szCs w:val="32"/>
        </w:rPr>
        <w:t>，其应依法申请再审。</w:t>
      </w:r>
    </w:p>
    <w:p w:rsidR="001503D0" w:rsidRPr="00065F52" w:rsidRDefault="001503D0" w:rsidP="001503D0">
      <w:pPr>
        <w:pStyle w:val="2"/>
        <w:spacing w:before="0" w:after="0"/>
        <w:ind w:firstLineChars="200" w:firstLine="640"/>
        <w:rPr>
          <w:rStyle w:val="NormalCharacter"/>
          <w:rFonts w:ascii="黑体" w:eastAsia="黑体" w:hAnsi="黑体"/>
          <w:b w:val="0"/>
        </w:rPr>
      </w:pPr>
      <w:bookmarkStart w:id="108" w:name="_Toc36114042"/>
      <w:r w:rsidRPr="00065F52">
        <w:rPr>
          <w:rStyle w:val="NormalCharacter"/>
          <w:rFonts w:ascii="黑体" w:eastAsia="黑体" w:hAnsi="黑体" w:hint="eastAsia"/>
          <w:b w:val="0"/>
        </w:rPr>
        <w:lastRenderedPageBreak/>
        <w:t>三、管辖法院和</w:t>
      </w:r>
      <w:r w:rsidRPr="00065F52">
        <w:rPr>
          <w:rStyle w:val="NormalCharacter"/>
          <w:rFonts w:ascii="黑体" w:eastAsia="黑体" w:hAnsi="黑体"/>
          <w:b w:val="0"/>
        </w:rPr>
        <w:t>起诉时间特定</w:t>
      </w:r>
      <w:bookmarkEnd w:id="108"/>
    </w:p>
    <w:p w:rsidR="001503D0" w:rsidRPr="00065F52" w:rsidRDefault="001503D0" w:rsidP="001503D0">
      <w:pPr>
        <w:spacing w:line="560" w:lineRule="exact"/>
        <w:ind w:firstLineChars="200" w:firstLine="640"/>
        <w:rPr>
          <w:rStyle w:val="NormalCharacter"/>
          <w:rFonts w:ascii="仿宋_GB2312" w:eastAsia="仿宋_GB2312"/>
          <w:sz w:val="32"/>
          <w:szCs w:val="32"/>
        </w:rPr>
      </w:pPr>
      <w:r w:rsidRPr="00065F52">
        <w:rPr>
          <w:rStyle w:val="NormalCharacter"/>
          <w:rFonts w:ascii="仿宋_GB2312" w:eastAsia="仿宋_GB2312" w:hint="eastAsia"/>
          <w:sz w:val="32"/>
          <w:szCs w:val="32"/>
        </w:rPr>
        <w:t>案外第三人撤销之诉必须按照法律的具体规定，由原做出生效裁判文书的法院专属管辖，不适用民事案件地域管辖、级别管辖的规定。</w:t>
      </w:r>
      <w:proofErr w:type="gramStart"/>
      <w:r w:rsidRPr="00065F52">
        <w:rPr>
          <w:rStyle w:val="NormalCharacter"/>
          <w:rFonts w:ascii="仿宋_GB2312" w:eastAsia="仿宋_GB2312" w:hint="eastAsia"/>
          <w:sz w:val="32"/>
          <w:szCs w:val="32"/>
        </w:rPr>
        <w:t>作出</w:t>
      </w:r>
      <w:proofErr w:type="gramEnd"/>
      <w:r w:rsidRPr="00065F52">
        <w:rPr>
          <w:rStyle w:val="NormalCharacter"/>
          <w:rFonts w:ascii="仿宋_GB2312" w:eastAsia="仿宋_GB2312" w:hint="eastAsia"/>
          <w:sz w:val="32"/>
          <w:szCs w:val="32"/>
        </w:rPr>
        <w:t>生效裁判文书的法院既可能是一审法院，也可能是二审法院。而执行异议之诉原则上是向执行法院提出，再审原则上由上级法院管辖。</w:t>
      </w:r>
    </w:p>
    <w:p w:rsidR="001503D0" w:rsidRPr="00065F52" w:rsidRDefault="001503D0" w:rsidP="001503D0">
      <w:pPr>
        <w:spacing w:line="560" w:lineRule="exact"/>
        <w:ind w:firstLineChars="200" w:firstLine="640"/>
        <w:rPr>
          <w:rStyle w:val="NormalCharacter"/>
          <w:rFonts w:ascii="仿宋_GB2312" w:eastAsia="仿宋_GB2312"/>
          <w:sz w:val="32"/>
          <w:szCs w:val="32"/>
        </w:rPr>
      </w:pPr>
      <w:r w:rsidRPr="00065F52">
        <w:rPr>
          <w:rStyle w:val="NormalCharacter"/>
          <w:rFonts w:ascii="仿宋_GB2312" w:eastAsia="仿宋_GB2312" w:hint="eastAsia"/>
          <w:sz w:val="32"/>
          <w:szCs w:val="32"/>
        </w:rPr>
        <w:t>从起诉时间看，第三人撤销</w:t>
      </w:r>
      <w:proofErr w:type="gramStart"/>
      <w:r w:rsidRPr="00065F52">
        <w:rPr>
          <w:rStyle w:val="NormalCharacter"/>
          <w:rFonts w:ascii="仿宋_GB2312" w:eastAsia="仿宋_GB2312" w:hint="eastAsia"/>
          <w:sz w:val="32"/>
          <w:szCs w:val="32"/>
        </w:rPr>
        <w:t>之诉所针对</w:t>
      </w:r>
      <w:proofErr w:type="gramEnd"/>
      <w:r w:rsidRPr="00065F52">
        <w:rPr>
          <w:rStyle w:val="NormalCharacter"/>
          <w:rFonts w:ascii="仿宋_GB2312" w:eastAsia="仿宋_GB2312" w:hint="eastAsia"/>
          <w:sz w:val="32"/>
          <w:szCs w:val="32"/>
        </w:rPr>
        <w:t>的客体是已生效的判决、裁定和调解书，</w:t>
      </w:r>
      <w:r w:rsidRPr="00065F52">
        <w:rPr>
          <w:rStyle w:val="NormalCharacter"/>
          <w:rFonts w:ascii="仿宋_GB2312" w:eastAsia="仿宋_GB2312"/>
          <w:sz w:val="32"/>
          <w:szCs w:val="32"/>
        </w:rPr>
        <w:t>起诉时间是</w:t>
      </w:r>
      <w:r w:rsidRPr="00065F52">
        <w:rPr>
          <w:rStyle w:val="NormalCharacter"/>
          <w:rFonts w:ascii="仿宋_GB2312" w:eastAsia="仿宋_GB2312" w:hint="eastAsia"/>
          <w:sz w:val="32"/>
          <w:szCs w:val="32"/>
        </w:rPr>
        <w:t>第三人</w:t>
      </w:r>
      <w:r w:rsidRPr="00065F52">
        <w:rPr>
          <w:rStyle w:val="NormalCharacter"/>
          <w:rFonts w:ascii="仿宋_GB2312" w:eastAsia="仿宋_GB2312"/>
          <w:sz w:val="32"/>
          <w:szCs w:val="32"/>
        </w:rPr>
        <w:t>自知道或应当知道其民事权益受到损害之日起6个月内</w:t>
      </w:r>
      <w:r w:rsidRPr="00065F52">
        <w:rPr>
          <w:rStyle w:val="NormalCharacter"/>
          <w:rFonts w:ascii="仿宋_GB2312" w:eastAsia="仿宋_GB2312" w:hint="eastAsia"/>
          <w:sz w:val="32"/>
          <w:szCs w:val="32"/>
        </w:rPr>
        <w:t>，该期间是不变期间，不适用延长、中止、中断的规定。另外，第三人撤销之诉起诉的期间是从裁判文书生效开始起算，该裁判文书是否进入执行程序在所不问，而同样</w:t>
      </w:r>
      <w:proofErr w:type="gramStart"/>
      <w:r w:rsidRPr="00065F52">
        <w:rPr>
          <w:rStyle w:val="NormalCharacter"/>
          <w:rFonts w:ascii="仿宋_GB2312" w:eastAsia="仿宋_GB2312" w:hint="eastAsia"/>
          <w:sz w:val="32"/>
          <w:szCs w:val="32"/>
        </w:rPr>
        <w:t>作为案</w:t>
      </w:r>
      <w:proofErr w:type="gramEnd"/>
      <w:r w:rsidRPr="00065F52">
        <w:rPr>
          <w:rStyle w:val="NormalCharacter"/>
          <w:rFonts w:ascii="仿宋_GB2312" w:eastAsia="仿宋_GB2312" w:hint="eastAsia"/>
          <w:sz w:val="32"/>
          <w:szCs w:val="32"/>
        </w:rPr>
        <w:t>外人事后救济程序的执行异议之诉，其只有在案件进</w:t>
      </w:r>
      <w:r w:rsidR="004B7EF8">
        <w:rPr>
          <w:rStyle w:val="NormalCharacter"/>
          <w:rFonts w:ascii="仿宋_GB2312" w:eastAsia="仿宋_GB2312" w:hint="eastAsia"/>
          <w:sz w:val="32"/>
          <w:szCs w:val="32"/>
        </w:rPr>
        <w:t>入</w:t>
      </w:r>
      <w:r w:rsidRPr="00065F52">
        <w:rPr>
          <w:rStyle w:val="NormalCharacter"/>
          <w:rFonts w:ascii="仿宋_GB2312" w:eastAsia="仿宋_GB2312" w:hint="eastAsia"/>
          <w:sz w:val="32"/>
          <w:szCs w:val="32"/>
        </w:rPr>
        <w:t>执行程序时，案外人才有权提出执行异议。换言之，如果生效文书是确认判决或形成判决则无需进入执行程序，或者虽然是给付判决但从判决生效到执行开始之间</w:t>
      </w:r>
      <w:r w:rsidR="00D93276">
        <w:rPr>
          <w:rStyle w:val="NormalCharacter"/>
          <w:rFonts w:ascii="仿宋_GB2312" w:eastAsia="仿宋_GB2312" w:hint="eastAsia"/>
          <w:sz w:val="32"/>
          <w:szCs w:val="32"/>
        </w:rPr>
        <w:t>有</w:t>
      </w:r>
      <w:r w:rsidRPr="00065F52">
        <w:rPr>
          <w:rStyle w:val="NormalCharacter"/>
          <w:rFonts w:ascii="仿宋_GB2312" w:eastAsia="仿宋_GB2312" w:hint="eastAsia"/>
          <w:sz w:val="32"/>
          <w:szCs w:val="32"/>
        </w:rPr>
        <w:t>一个空白期，案外人若适用执行异议程序则无从入手维权，而第三人撤销之诉的启动时间则不以案件进入执行程序为限，将有效弥补执行异议之诉的局限性。</w:t>
      </w:r>
    </w:p>
    <w:p w:rsidR="001503D0" w:rsidRPr="00065F52" w:rsidRDefault="001503D0" w:rsidP="001503D0">
      <w:pPr>
        <w:pStyle w:val="2"/>
        <w:spacing w:before="0" w:after="0"/>
        <w:ind w:firstLineChars="200" w:firstLine="640"/>
        <w:rPr>
          <w:rStyle w:val="NormalCharacter"/>
          <w:rFonts w:ascii="黑体" w:eastAsia="黑体" w:hAnsi="黑体"/>
          <w:b w:val="0"/>
        </w:rPr>
      </w:pPr>
      <w:bookmarkStart w:id="109" w:name="_Toc36114043"/>
      <w:r w:rsidRPr="00065F52">
        <w:rPr>
          <w:rStyle w:val="NormalCharacter"/>
          <w:rFonts w:ascii="黑体" w:eastAsia="黑体" w:hAnsi="黑体" w:hint="eastAsia"/>
          <w:b w:val="0"/>
        </w:rPr>
        <w:t>四、权利救济更具终局性和彻底性</w:t>
      </w:r>
      <w:bookmarkEnd w:id="109"/>
    </w:p>
    <w:p w:rsidR="001503D0" w:rsidRPr="00065F52" w:rsidRDefault="001503D0" w:rsidP="001503D0">
      <w:pPr>
        <w:spacing w:line="560" w:lineRule="exact"/>
        <w:ind w:firstLineChars="200" w:firstLine="640"/>
        <w:rPr>
          <w:rStyle w:val="NormalCharacter"/>
          <w:rFonts w:ascii="仿宋_GB2312" w:eastAsia="仿宋_GB2312"/>
          <w:color w:val="000000"/>
          <w:sz w:val="32"/>
          <w:szCs w:val="32"/>
        </w:rPr>
      </w:pPr>
      <w:r w:rsidRPr="00065F52">
        <w:rPr>
          <w:rStyle w:val="NormalCharacter"/>
          <w:rFonts w:ascii="仿宋_GB2312" w:eastAsia="仿宋_GB2312" w:hint="eastAsia"/>
          <w:sz w:val="32"/>
          <w:szCs w:val="32"/>
        </w:rPr>
        <w:t>第三人撤销之诉</w:t>
      </w:r>
      <w:r w:rsidR="00D93276">
        <w:rPr>
          <w:rStyle w:val="NormalCharacter"/>
          <w:rFonts w:ascii="仿宋_GB2312" w:eastAsia="仿宋_GB2312" w:hint="eastAsia"/>
          <w:sz w:val="32"/>
          <w:szCs w:val="32"/>
        </w:rPr>
        <w:t>的</w:t>
      </w:r>
      <w:r w:rsidRPr="00065F52">
        <w:rPr>
          <w:rStyle w:val="NormalCharacter"/>
          <w:rFonts w:ascii="仿宋_GB2312" w:eastAsia="仿宋_GB2312" w:hint="eastAsia"/>
          <w:color w:val="000000"/>
          <w:sz w:val="32"/>
          <w:szCs w:val="32"/>
        </w:rPr>
        <w:t>诉讼请求成立的，法院一般应改变或者撤销原判决、裁定、调解书，并可根据第三人的主张，对第三人提出的实体权利</w:t>
      </w:r>
      <w:proofErr w:type="gramStart"/>
      <w:r w:rsidRPr="00065F52">
        <w:rPr>
          <w:rStyle w:val="NormalCharacter"/>
          <w:rFonts w:ascii="仿宋_GB2312" w:eastAsia="仿宋_GB2312" w:hint="eastAsia"/>
          <w:color w:val="000000"/>
          <w:sz w:val="32"/>
          <w:szCs w:val="32"/>
        </w:rPr>
        <w:t>作出</w:t>
      </w:r>
      <w:proofErr w:type="gramEnd"/>
      <w:r w:rsidRPr="00065F52">
        <w:rPr>
          <w:rStyle w:val="NormalCharacter"/>
          <w:rFonts w:ascii="仿宋_GB2312" w:eastAsia="仿宋_GB2312" w:hint="eastAsia"/>
          <w:color w:val="000000"/>
          <w:sz w:val="32"/>
          <w:szCs w:val="32"/>
        </w:rPr>
        <w:t>具体认定，能够彻底解决案件纠纷，实现对当事人合法权益的全面维护。</w:t>
      </w:r>
      <w:proofErr w:type="gramStart"/>
      <w:r w:rsidRPr="00065F52">
        <w:rPr>
          <w:rStyle w:val="NormalCharacter"/>
          <w:rFonts w:ascii="仿宋_GB2312" w:eastAsia="仿宋_GB2312" w:hint="eastAsia"/>
          <w:color w:val="000000"/>
          <w:sz w:val="32"/>
          <w:szCs w:val="32"/>
        </w:rPr>
        <w:t>而案外人</w:t>
      </w:r>
      <w:proofErr w:type="gramEnd"/>
      <w:r w:rsidRPr="00065F52">
        <w:rPr>
          <w:rStyle w:val="NormalCharacter"/>
          <w:rFonts w:ascii="仿宋_GB2312" w:eastAsia="仿宋_GB2312" w:hint="eastAsia"/>
          <w:color w:val="000000"/>
          <w:sz w:val="32"/>
          <w:szCs w:val="32"/>
        </w:rPr>
        <w:t>执行异议之诉的立法目的主要是审查案外人的异议</w:t>
      </w:r>
      <w:proofErr w:type="gramStart"/>
      <w:r w:rsidRPr="00065F52">
        <w:rPr>
          <w:rStyle w:val="NormalCharacter"/>
          <w:rFonts w:ascii="仿宋_GB2312" w:eastAsia="仿宋_GB2312" w:hint="eastAsia"/>
          <w:color w:val="000000"/>
          <w:sz w:val="32"/>
          <w:szCs w:val="32"/>
        </w:rPr>
        <w:t>能否阻却对抗</w:t>
      </w:r>
      <w:proofErr w:type="gramEnd"/>
      <w:r w:rsidRPr="00065F52">
        <w:rPr>
          <w:rStyle w:val="NormalCharacter"/>
          <w:rFonts w:ascii="仿宋_GB2312" w:eastAsia="仿宋_GB2312" w:hint="eastAsia"/>
          <w:color w:val="000000"/>
          <w:sz w:val="32"/>
          <w:szCs w:val="32"/>
        </w:rPr>
        <w:t>执</w:t>
      </w:r>
      <w:r w:rsidRPr="00065F52">
        <w:rPr>
          <w:rStyle w:val="NormalCharacter"/>
          <w:rFonts w:ascii="仿宋_GB2312" w:eastAsia="仿宋_GB2312" w:hint="eastAsia"/>
          <w:color w:val="000000"/>
          <w:sz w:val="32"/>
          <w:szCs w:val="32"/>
        </w:rPr>
        <w:lastRenderedPageBreak/>
        <w:t>行，其一般并不直接确认被执行标的</w:t>
      </w:r>
      <w:proofErr w:type="gramStart"/>
      <w:r w:rsidRPr="00065F52">
        <w:rPr>
          <w:rStyle w:val="NormalCharacter"/>
          <w:rFonts w:ascii="仿宋_GB2312" w:eastAsia="仿宋_GB2312" w:hint="eastAsia"/>
          <w:color w:val="000000"/>
          <w:sz w:val="32"/>
          <w:szCs w:val="32"/>
        </w:rPr>
        <w:t>的</w:t>
      </w:r>
      <w:proofErr w:type="gramEnd"/>
      <w:r w:rsidRPr="00065F52">
        <w:rPr>
          <w:rStyle w:val="NormalCharacter"/>
          <w:rFonts w:ascii="仿宋_GB2312" w:eastAsia="仿宋_GB2312" w:hint="eastAsia"/>
          <w:color w:val="000000"/>
          <w:sz w:val="32"/>
          <w:szCs w:val="32"/>
        </w:rPr>
        <w:t>权利归属，因错误执行而致实体权益遭受侵害的案外人还必须通过再审、第三人撤销之诉等程序寻求司法救济。因此，第三人撤销之</w:t>
      </w:r>
      <w:proofErr w:type="gramStart"/>
      <w:r w:rsidRPr="00065F52">
        <w:rPr>
          <w:rStyle w:val="NormalCharacter"/>
          <w:rFonts w:ascii="仿宋_GB2312" w:eastAsia="仿宋_GB2312" w:hint="eastAsia"/>
          <w:color w:val="000000"/>
          <w:sz w:val="32"/>
          <w:szCs w:val="32"/>
        </w:rPr>
        <w:t>诉可有效弥补案</w:t>
      </w:r>
      <w:proofErr w:type="gramEnd"/>
      <w:r w:rsidRPr="00065F52">
        <w:rPr>
          <w:rStyle w:val="NormalCharacter"/>
          <w:rFonts w:ascii="仿宋_GB2312" w:eastAsia="仿宋_GB2312" w:hint="eastAsia"/>
          <w:color w:val="000000"/>
          <w:sz w:val="32"/>
          <w:szCs w:val="32"/>
        </w:rPr>
        <w:t>外人执行异议的缺陷，对第三人的合法权利进行全面救济。</w:t>
      </w:r>
    </w:p>
    <w:p w:rsidR="001503D0" w:rsidRPr="00065F52" w:rsidRDefault="001503D0" w:rsidP="001503D0">
      <w:pPr>
        <w:pStyle w:val="2"/>
        <w:spacing w:before="0" w:after="0"/>
        <w:ind w:firstLineChars="200" w:firstLine="640"/>
        <w:rPr>
          <w:rStyle w:val="NormalCharacter"/>
          <w:rFonts w:ascii="黑体" w:eastAsia="黑体" w:hAnsi="黑体"/>
          <w:b w:val="0"/>
        </w:rPr>
      </w:pPr>
      <w:bookmarkStart w:id="110" w:name="_Toc36114044"/>
      <w:r w:rsidRPr="00065F52">
        <w:rPr>
          <w:rStyle w:val="NormalCharacter"/>
          <w:rFonts w:ascii="黑体" w:eastAsia="黑体" w:hAnsi="黑体" w:hint="eastAsia"/>
          <w:b w:val="0"/>
        </w:rPr>
        <w:t>五、案件所涉领域广、专业性强，裁判尺度难统一</w:t>
      </w:r>
      <w:bookmarkEnd w:id="110"/>
    </w:p>
    <w:p w:rsidR="001503D0" w:rsidRPr="00065F52" w:rsidRDefault="001503D0" w:rsidP="001503D0">
      <w:pPr>
        <w:spacing w:line="560" w:lineRule="exact"/>
        <w:ind w:firstLineChars="200" w:firstLine="640"/>
        <w:rPr>
          <w:rStyle w:val="NormalCharacter"/>
          <w:rFonts w:ascii="仿宋_GB2312" w:eastAsia="仿宋_GB2312"/>
          <w:color w:val="000000"/>
          <w:sz w:val="32"/>
          <w:szCs w:val="32"/>
        </w:rPr>
      </w:pPr>
      <w:r w:rsidRPr="00065F52">
        <w:rPr>
          <w:rStyle w:val="NormalCharacter"/>
          <w:rFonts w:ascii="仿宋_GB2312" w:eastAsia="仿宋_GB2312" w:hint="eastAsia"/>
          <w:color w:val="000000"/>
          <w:sz w:val="32"/>
          <w:szCs w:val="32"/>
        </w:rPr>
        <w:t>第三人撤销之</w:t>
      </w:r>
      <w:proofErr w:type="gramStart"/>
      <w:r w:rsidRPr="00065F52">
        <w:rPr>
          <w:rStyle w:val="NormalCharacter"/>
          <w:rFonts w:ascii="仿宋_GB2312" w:eastAsia="仿宋_GB2312" w:hint="eastAsia"/>
          <w:color w:val="000000"/>
          <w:sz w:val="32"/>
          <w:szCs w:val="32"/>
        </w:rPr>
        <w:t>诉制度</w:t>
      </w:r>
      <w:proofErr w:type="gramEnd"/>
      <w:r w:rsidRPr="00065F52">
        <w:rPr>
          <w:rStyle w:val="NormalCharacter"/>
          <w:rFonts w:ascii="仿宋_GB2312" w:eastAsia="仿宋_GB2312" w:hint="eastAsia"/>
          <w:color w:val="000000"/>
          <w:sz w:val="32"/>
          <w:szCs w:val="32"/>
        </w:rPr>
        <w:t>是2012新修改的民事诉讼法创设的保护第三人民事权益的制度，其基本内容在于撤销已经生效的裁判内容。而已生效的裁判文书涉及多项民事权利，如所有权、用益物权、担保物权，各类债权等，对法官的业务能力提出了更高要求，需要法官既熟悉程序规定，还要精通物权法、合同法、担保法、婚姻法、公司法等各项实体法律规定。而且，该制度因实行较晚，相关法律规定尚需逐步完善，理论界和审判实践都存在诸多争议，致使案件事实认定困难，裁判尺度不统一。</w:t>
      </w:r>
    </w:p>
    <w:p w:rsidR="001503D0" w:rsidRPr="00065F52" w:rsidRDefault="001503D0" w:rsidP="001503D0">
      <w:pPr>
        <w:spacing w:line="560" w:lineRule="exact"/>
        <w:ind w:firstLineChars="200" w:firstLine="640"/>
        <w:rPr>
          <w:rStyle w:val="NormalCharacter"/>
          <w:rFonts w:ascii="仿宋_GB2312" w:eastAsia="仿宋_GB2312"/>
          <w:color w:val="000000"/>
          <w:sz w:val="32"/>
          <w:szCs w:val="32"/>
        </w:rPr>
      </w:pPr>
    </w:p>
    <w:p w:rsidR="001503D0" w:rsidRPr="00065F52" w:rsidRDefault="00E72CBF" w:rsidP="001503D0">
      <w:pPr>
        <w:pStyle w:val="1"/>
        <w:spacing w:before="0" w:after="0"/>
        <w:jc w:val="center"/>
        <w:rPr>
          <w:rStyle w:val="NormalCharacter"/>
          <w:rFonts w:ascii="方正小标宋简体" w:eastAsia="方正小标宋简体"/>
          <w:b w:val="0"/>
          <w:color w:val="000000"/>
          <w:kern w:val="2"/>
          <w:sz w:val="32"/>
          <w:szCs w:val="32"/>
        </w:rPr>
      </w:pPr>
      <w:bookmarkStart w:id="111" w:name="_Toc36114051"/>
      <w:r w:rsidRPr="00065F52">
        <w:rPr>
          <w:rStyle w:val="NormalCharacter"/>
          <w:rFonts w:ascii="方正小标宋简体" w:eastAsia="方正小标宋简体" w:hint="eastAsia"/>
          <w:b w:val="0"/>
          <w:color w:val="000000"/>
          <w:kern w:val="2"/>
          <w:sz w:val="32"/>
          <w:szCs w:val="32"/>
        </w:rPr>
        <w:t>第三</w:t>
      </w:r>
      <w:r w:rsidR="001503D0" w:rsidRPr="00065F52">
        <w:rPr>
          <w:rStyle w:val="NormalCharacter"/>
          <w:rFonts w:ascii="方正小标宋简体" w:eastAsia="方正小标宋简体" w:hint="eastAsia"/>
          <w:b w:val="0"/>
          <w:color w:val="000000"/>
          <w:kern w:val="2"/>
          <w:sz w:val="32"/>
          <w:szCs w:val="32"/>
        </w:rPr>
        <w:t>章 第三人撤销之诉纠纷的主要处理原则</w:t>
      </w:r>
      <w:bookmarkEnd w:id="111"/>
    </w:p>
    <w:p w:rsidR="001503D0" w:rsidRPr="00065F52" w:rsidRDefault="001503D0" w:rsidP="001503D0">
      <w:pPr>
        <w:ind w:firstLineChars="200" w:firstLine="640"/>
        <w:rPr>
          <w:rStyle w:val="NormalCharacter"/>
          <w:rFonts w:ascii="仿宋_GB2312" w:eastAsia="仿宋_GB2312"/>
          <w:sz w:val="32"/>
          <w:szCs w:val="32"/>
        </w:rPr>
      </w:pPr>
      <w:r w:rsidRPr="00065F52">
        <w:rPr>
          <w:rStyle w:val="NormalCharacter"/>
          <w:rFonts w:ascii="仿宋_GB2312" w:eastAsia="仿宋_GB2312" w:hint="eastAsia"/>
          <w:sz w:val="32"/>
          <w:szCs w:val="32"/>
        </w:rPr>
        <w:t>审理第三人撤销</w:t>
      </w:r>
      <w:proofErr w:type="gramStart"/>
      <w:r w:rsidRPr="00065F52">
        <w:rPr>
          <w:rStyle w:val="NormalCharacter"/>
          <w:rFonts w:ascii="仿宋_GB2312" w:eastAsia="仿宋_GB2312" w:hint="eastAsia"/>
          <w:sz w:val="32"/>
          <w:szCs w:val="32"/>
        </w:rPr>
        <w:t>之诉除应</w:t>
      </w:r>
      <w:proofErr w:type="gramEnd"/>
      <w:r w:rsidRPr="00065F52">
        <w:rPr>
          <w:rStyle w:val="NormalCharacter"/>
          <w:rFonts w:ascii="仿宋_GB2312" w:eastAsia="仿宋_GB2312" w:hint="eastAsia"/>
          <w:sz w:val="32"/>
          <w:szCs w:val="32"/>
        </w:rPr>
        <w:t>遵循民商事审判的基本原则外，基于其制度特性，尚应遵循以下原则：</w:t>
      </w:r>
    </w:p>
    <w:p w:rsidR="001503D0" w:rsidRPr="00065F52" w:rsidRDefault="001503D0" w:rsidP="001503D0">
      <w:pPr>
        <w:pStyle w:val="2"/>
        <w:spacing w:before="0" w:after="0"/>
        <w:ind w:firstLineChars="200" w:firstLine="640"/>
        <w:rPr>
          <w:rStyle w:val="NormalCharacter"/>
          <w:rFonts w:ascii="黑体" w:eastAsia="黑体" w:hAnsi="黑体"/>
          <w:b w:val="0"/>
        </w:rPr>
      </w:pPr>
      <w:bookmarkStart w:id="112" w:name="_Toc36114052"/>
      <w:r w:rsidRPr="00065F52">
        <w:rPr>
          <w:rStyle w:val="NormalCharacter"/>
          <w:rFonts w:ascii="黑体" w:eastAsia="黑体" w:hAnsi="黑体" w:hint="eastAsia"/>
          <w:b w:val="0"/>
        </w:rPr>
        <w:t>一、平衡保护、审慎处理原则</w:t>
      </w:r>
      <w:bookmarkEnd w:id="112"/>
    </w:p>
    <w:p w:rsidR="001503D0" w:rsidRPr="00065F52" w:rsidRDefault="001503D0" w:rsidP="001503D0">
      <w:pPr>
        <w:ind w:firstLineChars="200" w:firstLine="640"/>
        <w:rPr>
          <w:rStyle w:val="NormalCharacter"/>
          <w:rFonts w:ascii="仿宋_GB2312" w:eastAsia="仿宋_GB2312"/>
          <w:sz w:val="32"/>
          <w:szCs w:val="32"/>
        </w:rPr>
      </w:pPr>
      <w:r w:rsidRPr="00065F52">
        <w:rPr>
          <w:rStyle w:val="NormalCharacter"/>
          <w:rFonts w:ascii="仿宋_GB2312" w:eastAsia="仿宋_GB2312" w:hint="eastAsia"/>
          <w:sz w:val="32"/>
          <w:szCs w:val="32"/>
        </w:rPr>
        <w:t>设立第三人撤销之</w:t>
      </w:r>
      <w:proofErr w:type="gramStart"/>
      <w:r w:rsidRPr="00065F52">
        <w:rPr>
          <w:rStyle w:val="NormalCharacter"/>
          <w:rFonts w:ascii="仿宋_GB2312" w:eastAsia="仿宋_GB2312" w:hint="eastAsia"/>
          <w:sz w:val="32"/>
          <w:szCs w:val="32"/>
        </w:rPr>
        <w:t>诉制度</w:t>
      </w:r>
      <w:proofErr w:type="gramEnd"/>
      <w:r w:rsidRPr="00065F52">
        <w:rPr>
          <w:rStyle w:val="NormalCharacter"/>
          <w:rFonts w:ascii="仿宋_GB2312" w:eastAsia="仿宋_GB2312" w:hint="eastAsia"/>
          <w:sz w:val="32"/>
          <w:szCs w:val="32"/>
        </w:rPr>
        <w:t>的目的在于为案外人提供更多权利救济途径，但其系事后启动的纠错程序，涉及生效裁判的既判力和稳定性。因此，在审判实践中，应坚持平衡保</w:t>
      </w:r>
      <w:r w:rsidRPr="00065F52">
        <w:rPr>
          <w:rStyle w:val="NormalCharacter"/>
          <w:rFonts w:ascii="仿宋_GB2312" w:eastAsia="仿宋_GB2312" w:hint="eastAsia"/>
          <w:sz w:val="32"/>
          <w:szCs w:val="32"/>
        </w:rPr>
        <w:lastRenderedPageBreak/>
        <w:t>护理念，既确保符合法定资格的第三人的合法权益得到保证，也应</w:t>
      </w:r>
      <w:proofErr w:type="gramStart"/>
      <w:r w:rsidRPr="00065F52">
        <w:rPr>
          <w:rStyle w:val="NormalCharacter"/>
          <w:rFonts w:ascii="仿宋_GB2312" w:eastAsia="仿宋_GB2312" w:hint="eastAsia"/>
          <w:sz w:val="32"/>
          <w:szCs w:val="32"/>
        </w:rPr>
        <w:t>将滥诉</w:t>
      </w:r>
      <w:proofErr w:type="gramEnd"/>
      <w:r w:rsidRPr="00065F52">
        <w:rPr>
          <w:rStyle w:val="NormalCharacter"/>
          <w:rFonts w:ascii="仿宋_GB2312" w:eastAsia="仿宋_GB2312" w:hint="eastAsia"/>
          <w:sz w:val="32"/>
          <w:szCs w:val="32"/>
        </w:rPr>
        <w:t>的案外人排除在外，应结合第三人撤销之诉的法定构成要件对案件进行严加审查，对不符合起诉条件的第三人依法不予受理或驳回起诉，减少各方当事人的诉累，维护司法的权威和社会秩序的稳定。</w:t>
      </w:r>
    </w:p>
    <w:p w:rsidR="001503D0" w:rsidRPr="00065F52" w:rsidRDefault="001503D0" w:rsidP="001503D0">
      <w:pPr>
        <w:pStyle w:val="2"/>
        <w:spacing w:before="0" w:after="0"/>
        <w:ind w:firstLineChars="200" w:firstLine="640"/>
        <w:rPr>
          <w:rStyle w:val="NormalCharacter"/>
          <w:rFonts w:ascii="黑体" w:eastAsia="黑体" w:hAnsi="黑体"/>
          <w:b w:val="0"/>
        </w:rPr>
      </w:pPr>
      <w:bookmarkStart w:id="113" w:name="_Toc36114053"/>
      <w:r w:rsidRPr="00065F52">
        <w:rPr>
          <w:rStyle w:val="NormalCharacter"/>
          <w:rFonts w:ascii="黑体" w:eastAsia="黑体" w:hAnsi="黑体" w:hint="eastAsia"/>
          <w:b w:val="0"/>
        </w:rPr>
        <w:t>二、程序择</w:t>
      </w:r>
      <w:proofErr w:type="gramStart"/>
      <w:r w:rsidRPr="00065F52">
        <w:rPr>
          <w:rStyle w:val="NormalCharacter"/>
          <w:rFonts w:ascii="黑体" w:eastAsia="黑体" w:hAnsi="黑体" w:hint="eastAsia"/>
          <w:b w:val="0"/>
        </w:rPr>
        <w:t>一</w:t>
      </w:r>
      <w:proofErr w:type="gramEnd"/>
      <w:r w:rsidRPr="00065F52">
        <w:rPr>
          <w:rStyle w:val="NormalCharacter"/>
          <w:rFonts w:ascii="黑体" w:eastAsia="黑体" w:hAnsi="黑体" w:hint="eastAsia"/>
          <w:b w:val="0"/>
        </w:rPr>
        <w:t>适用原则</w:t>
      </w:r>
      <w:bookmarkEnd w:id="113"/>
    </w:p>
    <w:p w:rsidR="001503D0" w:rsidRPr="00065F52" w:rsidRDefault="001503D0" w:rsidP="001503D0">
      <w:pPr>
        <w:ind w:firstLineChars="200" w:firstLine="640"/>
        <w:rPr>
          <w:rStyle w:val="NormalCharacter"/>
          <w:rFonts w:ascii="仿宋_GB2312" w:eastAsia="仿宋_GB2312"/>
          <w:sz w:val="32"/>
          <w:szCs w:val="32"/>
        </w:rPr>
      </w:pPr>
      <w:r w:rsidRPr="00065F52">
        <w:rPr>
          <w:rStyle w:val="NormalCharacter"/>
          <w:rFonts w:ascii="仿宋_GB2312" w:eastAsia="仿宋_GB2312" w:hint="eastAsia"/>
          <w:sz w:val="32"/>
          <w:szCs w:val="32"/>
        </w:rPr>
        <w:t>我国民事诉讼法司法解释第303条规定，第三人提起撤销之诉后，未中止生效判决、裁定、调解书执行的，执行法院对第三人依照民事诉讼法第二百二十七条规定提出的执行异议，应</w:t>
      </w:r>
      <w:proofErr w:type="gramStart"/>
      <w:r w:rsidRPr="00065F52">
        <w:rPr>
          <w:rStyle w:val="NormalCharacter"/>
          <w:rFonts w:ascii="仿宋_GB2312" w:eastAsia="仿宋_GB2312" w:hint="eastAsia"/>
          <w:sz w:val="32"/>
          <w:szCs w:val="32"/>
        </w:rPr>
        <w:t>予审</w:t>
      </w:r>
      <w:proofErr w:type="gramEnd"/>
      <w:r w:rsidRPr="00065F52">
        <w:rPr>
          <w:rStyle w:val="NormalCharacter"/>
          <w:rFonts w:ascii="仿宋_GB2312" w:eastAsia="仿宋_GB2312" w:hint="eastAsia"/>
          <w:sz w:val="32"/>
          <w:szCs w:val="32"/>
        </w:rPr>
        <w:t>查。第三人不服驳回执行异议裁定，申请对原判决、裁定、调解书再审的，人民法院不予受理。案外人对人民法院驳回其执行异议裁定不服，认为原判决、裁定、调解书内容错误损害其合法权益的，应当根据民事诉讼法第二百二十七条规定申请再审，提起第三人撤销之诉的，人民法院不予受理。因此，当事人只能依法选择一种救济程序，一旦选择则不能变更。该条处理原则既能避免程序上的交叉、裁判结果的矛盾冲突，也有利于减轻当事人的诉累，节约司法资源，提高</w:t>
      </w:r>
      <w:r w:rsidR="004B7EF8">
        <w:rPr>
          <w:rStyle w:val="NormalCharacter"/>
          <w:rFonts w:ascii="仿宋_GB2312" w:eastAsia="仿宋_GB2312" w:hint="eastAsia"/>
          <w:sz w:val="32"/>
          <w:szCs w:val="32"/>
        </w:rPr>
        <w:t>诉讼</w:t>
      </w:r>
      <w:r w:rsidRPr="00065F52">
        <w:rPr>
          <w:rStyle w:val="NormalCharacter"/>
          <w:rFonts w:ascii="仿宋_GB2312" w:eastAsia="仿宋_GB2312" w:hint="eastAsia"/>
          <w:sz w:val="32"/>
          <w:szCs w:val="32"/>
        </w:rPr>
        <w:t>效率。</w:t>
      </w:r>
    </w:p>
    <w:p w:rsidR="001503D0" w:rsidRPr="00065F52" w:rsidRDefault="001503D0" w:rsidP="001503D0">
      <w:pPr>
        <w:pStyle w:val="2"/>
        <w:spacing w:before="0" w:after="0"/>
        <w:ind w:firstLineChars="200" w:firstLine="640"/>
        <w:rPr>
          <w:rStyle w:val="NormalCharacter"/>
          <w:rFonts w:ascii="黑体" w:eastAsia="黑体" w:hAnsi="黑体"/>
          <w:b w:val="0"/>
        </w:rPr>
      </w:pPr>
      <w:bookmarkStart w:id="114" w:name="_Toc36114054"/>
      <w:r w:rsidRPr="00065F52">
        <w:rPr>
          <w:rStyle w:val="NormalCharacter"/>
          <w:rFonts w:ascii="黑体" w:eastAsia="黑体" w:hAnsi="黑体" w:hint="eastAsia"/>
          <w:b w:val="0"/>
        </w:rPr>
        <w:t>三、提高审执效率原则</w:t>
      </w:r>
      <w:bookmarkEnd w:id="114"/>
    </w:p>
    <w:p w:rsidR="001503D0" w:rsidRPr="00065F52" w:rsidRDefault="001503D0" w:rsidP="001503D0">
      <w:pPr>
        <w:ind w:firstLineChars="200" w:firstLine="640"/>
        <w:rPr>
          <w:rStyle w:val="NormalCharacter"/>
          <w:rFonts w:ascii="仿宋_GB2312" w:eastAsia="仿宋_GB2312"/>
          <w:sz w:val="32"/>
          <w:szCs w:val="32"/>
        </w:rPr>
      </w:pPr>
      <w:r w:rsidRPr="00065F52">
        <w:rPr>
          <w:rStyle w:val="NormalCharacter"/>
          <w:rFonts w:ascii="仿宋_GB2312" w:eastAsia="仿宋_GB2312" w:hint="eastAsia"/>
          <w:sz w:val="32"/>
          <w:szCs w:val="32"/>
        </w:rPr>
        <w:t>第三人撤销之诉原则上无中止执行原生效裁判的效力，但我国民事诉讼法司法解释第299条明确规定，受理第三人撤销之诉案件后，原告提供相应担保，请求中止执行的，人</w:t>
      </w:r>
      <w:r w:rsidRPr="00065F52">
        <w:rPr>
          <w:rStyle w:val="NormalCharacter"/>
          <w:rFonts w:ascii="仿宋_GB2312" w:eastAsia="仿宋_GB2312" w:hint="eastAsia"/>
          <w:sz w:val="32"/>
          <w:szCs w:val="32"/>
        </w:rPr>
        <w:lastRenderedPageBreak/>
        <w:t>民法院可以准许。因此，为避免当事人恶意提起诉讼规避执行，应加大对第三人撤销之诉案件的审查标准。在立案程序中，适当进行实质审查，从源头上严把立案关，对不符合立案条件的案件，应当在收到起诉状之日起三十日内裁定不予受理，维护生效裁判的稳定性，确保执行案件的顺利执行。在案件审理程序中，对当事人请求中止执行的，应由法院根据案件审理情况，排除当事人恶意诉讼、拖延审判执行情形时依法确定。同时，尽量缩短审理周期，依法及时裁判。</w:t>
      </w:r>
    </w:p>
    <w:p w:rsidR="001503D0" w:rsidRPr="00065F52" w:rsidRDefault="001503D0" w:rsidP="001503D0">
      <w:pPr>
        <w:spacing w:line="560" w:lineRule="exact"/>
        <w:ind w:firstLineChars="200" w:firstLine="640"/>
        <w:rPr>
          <w:rStyle w:val="NormalCharacter"/>
          <w:rFonts w:ascii="仿宋_GB2312" w:eastAsia="仿宋_GB2312"/>
          <w:sz w:val="32"/>
          <w:szCs w:val="32"/>
        </w:rPr>
      </w:pPr>
    </w:p>
    <w:p w:rsidR="001503D0" w:rsidRPr="005F55B3" w:rsidRDefault="001503D0" w:rsidP="001503D0">
      <w:pPr>
        <w:pStyle w:val="1"/>
        <w:spacing w:before="0" w:after="0"/>
        <w:jc w:val="center"/>
        <w:rPr>
          <w:rStyle w:val="NormalCharacter"/>
          <w:rFonts w:ascii="方正小标宋简体" w:eastAsia="方正小标宋简体"/>
          <w:b w:val="0"/>
          <w:bCs w:val="0"/>
          <w:kern w:val="2"/>
          <w:sz w:val="32"/>
          <w:szCs w:val="32"/>
        </w:rPr>
      </w:pPr>
      <w:bookmarkStart w:id="115" w:name="_Toc36114063"/>
      <w:r w:rsidRPr="005F55B3">
        <w:rPr>
          <w:rStyle w:val="NormalCharacter"/>
          <w:rFonts w:ascii="方正小标宋简体" w:eastAsia="方正小标宋简体" w:hint="eastAsia"/>
          <w:b w:val="0"/>
          <w:bCs w:val="0"/>
          <w:kern w:val="2"/>
          <w:sz w:val="32"/>
          <w:szCs w:val="32"/>
        </w:rPr>
        <w:t>第</w:t>
      </w:r>
      <w:r w:rsidR="00E72CBF" w:rsidRPr="005F55B3">
        <w:rPr>
          <w:rStyle w:val="NormalCharacter"/>
          <w:rFonts w:ascii="方正小标宋简体" w:eastAsia="方正小标宋简体" w:hint="eastAsia"/>
          <w:b w:val="0"/>
          <w:bCs w:val="0"/>
          <w:kern w:val="2"/>
          <w:sz w:val="32"/>
          <w:szCs w:val="32"/>
        </w:rPr>
        <w:t>四</w:t>
      </w:r>
      <w:r w:rsidRPr="005F55B3">
        <w:rPr>
          <w:rStyle w:val="NormalCharacter"/>
          <w:rFonts w:ascii="方正小标宋简体" w:eastAsia="方正小标宋简体" w:hint="eastAsia"/>
          <w:b w:val="0"/>
          <w:bCs w:val="0"/>
          <w:kern w:val="2"/>
          <w:sz w:val="32"/>
          <w:szCs w:val="32"/>
        </w:rPr>
        <w:t>章</w:t>
      </w:r>
      <w:r w:rsidR="00D93276">
        <w:rPr>
          <w:rStyle w:val="NormalCharacter"/>
          <w:rFonts w:ascii="方正小标宋简体" w:eastAsia="方正小标宋简体" w:hint="eastAsia"/>
          <w:b w:val="0"/>
          <w:bCs w:val="0"/>
          <w:kern w:val="2"/>
          <w:sz w:val="32"/>
          <w:szCs w:val="32"/>
        </w:rPr>
        <w:t xml:space="preserve">  </w:t>
      </w:r>
      <w:r w:rsidRPr="005F55B3">
        <w:rPr>
          <w:rStyle w:val="NormalCharacter"/>
          <w:rFonts w:ascii="方正小标宋简体" w:eastAsia="方正小标宋简体" w:hint="eastAsia"/>
          <w:b w:val="0"/>
          <w:bCs w:val="0"/>
          <w:kern w:val="2"/>
          <w:sz w:val="32"/>
          <w:szCs w:val="32"/>
        </w:rPr>
        <w:t>第三人撤销之诉案件的启示和建议</w:t>
      </w:r>
      <w:bookmarkEnd w:id="115"/>
    </w:p>
    <w:p w:rsidR="001503D0" w:rsidRPr="00065F52" w:rsidRDefault="001503D0" w:rsidP="001503D0">
      <w:pPr>
        <w:pStyle w:val="2"/>
        <w:spacing w:before="0" w:after="0"/>
        <w:ind w:firstLineChars="200" w:firstLine="640"/>
        <w:rPr>
          <w:rStyle w:val="NormalCharacter"/>
          <w:rFonts w:ascii="黑体" w:eastAsia="黑体" w:hAnsi="黑体" w:cs="Times New Roman"/>
          <w:b w:val="0"/>
          <w:bCs w:val="0"/>
        </w:rPr>
      </w:pPr>
      <w:bookmarkStart w:id="116" w:name="_Toc36114064"/>
      <w:r w:rsidRPr="00065F52">
        <w:rPr>
          <w:rStyle w:val="NormalCharacter"/>
          <w:rFonts w:ascii="黑体" w:eastAsia="黑体" w:hAnsi="黑体" w:cs="Times New Roman" w:hint="eastAsia"/>
          <w:b w:val="0"/>
          <w:bCs w:val="0"/>
        </w:rPr>
        <w:t>一、完善诉讼告知制度，规范审理程序</w:t>
      </w:r>
      <w:bookmarkEnd w:id="116"/>
    </w:p>
    <w:p w:rsidR="001503D0" w:rsidRPr="00065F52" w:rsidRDefault="001503D0" w:rsidP="001503D0">
      <w:pPr>
        <w:spacing w:line="560" w:lineRule="exact"/>
        <w:ind w:firstLineChars="200" w:firstLine="640"/>
        <w:rPr>
          <w:rStyle w:val="NormalCharacter"/>
          <w:rFonts w:ascii="仿宋_GB2312" w:eastAsia="仿宋_GB2312"/>
          <w:sz w:val="32"/>
          <w:szCs w:val="32"/>
        </w:rPr>
      </w:pPr>
      <w:r w:rsidRPr="00065F52">
        <w:rPr>
          <w:rStyle w:val="NormalCharacter"/>
          <w:rFonts w:ascii="仿宋_GB2312" w:eastAsia="仿宋_GB2312" w:hint="eastAsia"/>
          <w:sz w:val="32"/>
          <w:szCs w:val="32"/>
        </w:rPr>
        <w:t>此制度指法院依职权告知和当事人诉讼告知第三人参与诉讼的制度。第三人撤销之</w:t>
      </w:r>
      <w:proofErr w:type="gramStart"/>
      <w:r w:rsidRPr="00065F52">
        <w:rPr>
          <w:rStyle w:val="NormalCharacter"/>
          <w:rFonts w:ascii="仿宋_GB2312" w:eastAsia="仿宋_GB2312" w:hint="eastAsia"/>
          <w:sz w:val="32"/>
          <w:szCs w:val="32"/>
        </w:rPr>
        <w:t>诉制度</w:t>
      </w:r>
      <w:proofErr w:type="gramEnd"/>
      <w:r w:rsidRPr="00065F52">
        <w:rPr>
          <w:rStyle w:val="NormalCharacter"/>
          <w:rFonts w:ascii="仿宋_GB2312" w:eastAsia="仿宋_GB2312" w:hint="eastAsia"/>
          <w:sz w:val="32"/>
          <w:szCs w:val="32"/>
        </w:rPr>
        <w:t>并非是单纯鼓励案外第三人在裁判生效后去启动救济的制度，更是实现督促法院诉讼告知以及鼓励当事人请求第三人参加诉讼以实现民事审判功能最大化的手段。该制度的价值既在于向第三人提供事后的程序保障，也在于对事前保障所形成的倒逼机制。因此，应通过在前诉中强化事前的程序保障，使程序保障防患于未然。实施诉讼告知制度后，第三人在收到告知后应当及时参与诉讼，除非因客观原因不能参加诉讼，否则应视为其已经参与诉讼，不能再依据第三</w:t>
      </w:r>
      <w:proofErr w:type="gramStart"/>
      <w:r w:rsidRPr="00065F52">
        <w:rPr>
          <w:rStyle w:val="NormalCharacter"/>
          <w:rFonts w:ascii="仿宋_GB2312" w:eastAsia="仿宋_GB2312" w:hint="eastAsia"/>
          <w:sz w:val="32"/>
          <w:szCs w:val="32"/>
        </w:rPr>
        <w:t>人制</w:t>
      </w:r>
      <w:proofErr w:type="gramEnd"/>
      <w:r w:rsidRPr="00065F52">
        <w:rPr>
          <w:rStyle w:val="NormalCharacter"/>
          <w:rFonts w:ascii="仿宋_GB2312" w:eastAsia="仿宋_GB2312" w:hint="eastAsia"/>
          <w:sz w:val="32"/>
          <w:szCs w:val="32"/>
        </w:rPr>
        <w:t>度寻求救济。另外，也有利于督促办案人在原审诉讼程序中，根据案件事实及当事人主张，全面审查案件是否</w:t>
      </w:r>
      <w:proofErr w:type="gramStart"/>
      <w:r w:rsidRPr="00065F52">
        <w:rPr>
          <w:rStyle w:val="NormalCharacter"/>
          <w:rFonts w:ascii="仿宋_GB2312" w:eastAsia="仿宋_GB2312" w:hint="eastAsia"/>
          <w:sz w:val="32"/>
          <w:szCs w:val="32"/>
        </w:rPr>
        <w:t>涉及案</w:t>
      </w:r>
      <w:proofErr w:type="gramEnd"/>
      <w:r w:rsidRPr="00065F52">
        <w:rPr>
          <w:rStyle w:val="NormalCharacter"/>
          <w:rFonts w:ascii="仿宋_GB2312" w:eastAsia="仿宋_GB2312" w:hint="eastAsia"/>
          <w:sz w:val="32"/>
          <w:szCs w:val="32"/>
        </w:rPr>
        <w:t>外人权益，保障第三人充分参</w:t>
      </w:r>
      <w:r w:rsidRPr="00065F52">
        <w:rPr>
          <w:rStyle w:val="NormalCharacter"/>
          <w:rFonts w:ascii="仿宋_GB2312" w:eastAsia="仿宋_GB2312" w:hint="eastAsia"/>
          <w:sz w:val="32"/>
          <w:szCs w:val="32"/>
        </w:rPr>
        <w:lastRenderedPageBreak/>
        <w:t>与诉讼，减少当事人诉累，提高诉讼效率，降低诉讼成本，最大程度解决纠纷。</w:t>
      </w:r>
    </w:p>
    <w:p w:rsidR="001503D0" w:rsidRPr="00065F52" w:rsidRDefault="001503D0" w:rsidP="001503D0">
      <w:pPr>
        <w:pStyle w:val="2"/>
        <w:spacing w:before="0" w:after="0"/>
        <w:ind w:firstLineChars="200" w:firstLine="640"/>
        <w:rPr>
          <w:rStyle w:val="NormalCharacter"/>
          <w:rFonts w:ascii="黑体" w:eastAsia="黑体" w:hAnsi="黑体" w:cs="Times New Roman"/>
          <w:b w:val="0"/>
          <w:bCs w:val="0"/>
        </w:rPr>
      </w:pPr>
      <w:bookmarkStart w:id="117" w:name="_Toc36114065"/>
      <w:r w:rsidRPr="00065F52">
        <w:rPr>
          <w:rStyle w:val="NormalCharacter"/>
          <w:rFonts w:ascii="黑体" w:eastAsia="黑体" w:hAnsi="黑体" w:cs="Times New Roman" w:hint="eastAsia"/>
          <w:b w:val="0"/>
          <w:bCs w:val="0"/>
        </w:rPr>
        <w:t>二、</w:t>
      </w:r>
      <w:proofErr w:type="gramStart"/>
      <w:r w:rsidRPr="00065F52">
        <w:rPr>
          <w:rStyle w:val="NormalCharacter"/>
          <w:rFonts w:ascii="黑体" w:eastAsia="黑体" w:hAnsi="黑体" w:cs="Times New Roman" w:hint="eastAsia"/>
          <w:b w:val="0"/>
          <w:bCs w:val="0"/>
        </w:rPr>
        <w:t>严格案</w:t>
      </w:r>
      <w:proofErr w:type="gramEnd"/>
      <w:r w:rsidRPr="00065F52">
        <w:rPr>
          <w:rStyle w:val="NormalCharacter"/>
          <w:rFonts w:ascii="黑体" w:eastAsia="黑体" w:hAnsi="黑体" w:cs="Times New Roman" w:hint="eastAsia"/>
          <w:b w:val="0"/>
          <w:bCs w:val="0"/>
        </w:rPr>
        <w:t>外人的程序选择权</w:t>
      </w:r>
      <w:bookmarkEnd w:id="117"/>
    </w:p>
    <w:p w:rsidR="001503D0" w:rsidRPr="00065F52" w:rsidRDefault="001503D0" w:rsidP="001503D0">
      <w:pPr>
        <w:ind w:firstLineChars="200" w:firstLine="640"/>
        <w:rPr>
          <w:rStyle w:val="NormalCharacter"/>
          <w:rFonts w:ascii="仿宋_GB2312" w:eastAsia="仿宋_GB2312"/>
          <w:sz w:val="32"/>
          <w:szCs w:val="32"/>
        </w:rPr>
      </w:pPr>
      <w:r w:rsidRPr="00065F52">
        <w:rPr>
          <w:rStyle w:val="NormalCharacter"/>
          <w:rFonts w:ascii="仿宋_GB2312" w:eastAsia="仿宋_GB2312" w:hint="eastAsia"/>
          <w:sz w:val="32"/>
          <w:szCs w:val="32"/>
        </w:rPr>
        <w:t>案外人救济案件</w:t>
      </w:r>
      <w:proofErr w:type="gramStart"/>
      <w:r w:rsidRPr="00065F52">
        <w:rPr>
          <w:rStyle w:val="NormalCharacter"/>
          <w:rFonts w:ascii="仿宋_GB2312" w:eastAsia="仿宋_GB2312" w:hint="eastAsia"/>
          <w:sz w:val="32"/>
          <w:szCs w:val="32"/>
        </w:rPr>
        <w:t>包括案</w:t>
      </w:r>
      <w:proofErr w:type="gramEnd"/>
      <w:r w:rsidRPr="00065F52">
        <w:rPr>
          <w:rStyle w:val="NormalCharacter"/>
          <w:rFonts w:ascii="仿宋_GB2312" w:eastAsia="仿宋_GB2312" w:hint="eastAsia"/>
          <w:sz w:val="32"/>
          <w:szCs w:val="32"/>
        </w:rPr>
        <w:t>外人申请再审、案外人执行异议之诉和第三人撤销之诉三种类型。上述三种类型赋予了第三人更多的选择权，在为案外人权利保障提供全方位救济的同时，也应明确不同的适用程序。根据我国民事诉讼法司法解释第303条的相关规定，第三人提起撤销之诉后，未中止生效判决、裁定、调解书执行的，执行法院对第三人依照民事诉讼法第二百二十七条规定提出的执行异议，应</w:t>
      </w:r>
      <w:proofErr w:type="gramStart"/>
      <w:r w:rsidRPr="00065F52">
        <w:rPr>
          <w:rStyle w:val="NormalCharacter"/>
          <w:rFonts w:ascii="仿宋_GB2312" w:eastAsia="仿宋_GB2312" w:hint="eastAsia"/>
          <w:sz w:val="32"/>
          <w:szCs w:val="32"/>
        </w:rPr>
        <w:t>予审</w:t>
      </w:r>
      <w:proofErr w:type="gramEnd"/>
      <w:r w:rsidRPr="00065F52">
        <w:rPr>
          <w:rStyle w:val="NormalCharacter"/>
          <w:rFonts w:ascii="仿宋_GB2312" w:eastAsia="仿宋_GB2312" w:hint="eastAsia"/>
          <w:sz w:val="32"/>
          <w:szCs w:val="32"/>
        </w:rPr>
        <w:t>查。第三人不服驳回执行异议裁定，申请对原判决、裁定、调解书再审的，人民法院不予受理。案外人对人民法院驳回其执行异议裁定不服，认为原判决、裁定、调解书内容错误损害其合法权益的，应当根据民事诉讼法第二百二十七条规定申请再审，提起第三人撤销之诉的，人民法院不予受理。因此，第三人应当结合自身情况慎重选择，在选择某一救济程序之后不得再选择其他的救济程序，避免出现当事人滥诉，加大当事人诉累，浪费司法资源的情形。</w:t>
      </w:r>
    </w:p>
    <w:p w:rsidR="001503D0" w:rsidRPr="00065F52" w:rsidRDefault="001503D0" w:rsidP="001503D0">
      <w:pPr>
        <w:pStyle w:val="2"/>
        <w:spacing w:before="0" w:after="0"/>
        <w:ind w:firstLineChars="200" w:firstLine="640"/>
        <w:rPr>
          <w:rStyle w:val="NormalCharacter"/>
          <w:rFonts w:ascii="黑体" w:eastAsia="黑体" w:hAnsi="黑体" w:cs="Times New Roman"/>
          <w:b w:val="0"/>
          <w:bCs w:val="0"/>
        </w:rPr>
      </w:pPr>
      <w:bookmarkStart w:id="118" w:name="_Toc36114066"/>
      <w:r w:rsidRPr="00065F52">
        <w:rPr>
          <w:rStyle w:val="NormalCharacter"/>
          <w:rFonts w:ascii="黑体" w:eastAsia="黑体" w:hAnsi="黑体" w:cs="Times New Roman" w:hint="eastAsia"/>
          <w:b w:val="0"/>
          <w:bCs w:val="0"/>
        </w:rPr>
        <w:t>三、</w:t>
      </w:r>
      <w:proofErr w:type="gramStart"/>
      <w:r w:rsidRPr="00065F52">
        <w:rPr>
          <w:rStyle w:val="NormalCharacter"/>
          <w:rFonts w:ascii="黑体" w:eastAsia="黑体" w:hAnsi="黑体" w:cs="Times New Roman" w:hint="eastAsia"/>
          <w:b w:val="0"/>
          <w:bCs w:val="0"/>
        </w:rPr>
        <w:t>强化案</w:t>
      </w:r>
      <w:proofErr w:type="gramEnd"/>
      <w:r w:rsidRPr="00065F52">
        <w:rPr>
          <w:rStyle w:val="NormalCharacter"/>
          <w:rFonts w:ascii="黑体" w:eastAsia="黑体" w:hAnsi="黑体" w:cs="Times New Roman" w:hint="eastAsia"/>
          <w:b w:val="0"/>
          <w:bCs w:val="0"/>
        </w:rPr>
        <w:t>外人的风险</w:t>
      </w:r>
      <w:r w:rsidR="00BA1ED9" w:rsidRPr="00ED6878">
        <w:rPr>
          <w:rStyle w:val="NormalCharacter"/>
          <w:rFonts w:ascii="黑体" w:eastAsia="黑体" w:hAnsi="黑体" w:cs="Times New Roman" w:hint="eastAsia"/>
          <w:b w:val="0"/>
          <w:bCs w:val="0"/>
        </w:rPr>
        <w:t>防范</w:t>
      </w:r>
      <w:r w:rsidRPr="00ED6878">
        <w:rPr>
          <w:rStyle w:val="NormalCharacter"/>
          <w:rFonts w:ascii="黑体" w:eastAsia="黑体" w:hAnsi="黑体" w:cs="Times New Roman" w:hint="eastAsia"/>
          <w:b w:val="0"/>
          <w:bCs w:val="0"/>
        </w:rPr>
        <w:t>意识</w:t>
      </w:r>
      <w:r w:rsidRPr="00065F52">
        <w:rPr>
          <w:rStyle w:val="NormalCharacter"/>
          <w:rFonts w:ascii="黑体" w:eastAsia="黑体" w:hAnsi="黑体" w:cs="Times New Roman" w:hint="eastAsia"/>
          <w:b w:val="0"/>
          <w:bCs w:val="0"/>
        </w:rPr>
        <w:t>，有效避免权益受损</w:t>
      </w:r>
      <w:bookmarkEnd w:id="118"/>
    </w:p>
    <w:p w:rsidR="001503D0" w:rsidRPr="00065F52" w:rsidRDefault="001503D0" w:rsidP="001503D0">
      <w:pPr>
        <w:ind w:firstLineChars="200" w:firstLine="640"/>
        <w:rPr>
          <w:rStyle w:val="NormalCharacter"/>
          <w:rFonts w:ascii="仿宋_GB2312" w:eastAsia="仿宋_GB2312"/>
          <w:sz w:val="32"/>
          <w:szCs w:val="32"/>
        </w:rPr>
      </w:pPr>
      <w:r w:rsidRPr="00065F52">
        <w:rPr>
          <w:rStyle w:val="NormalCharacter"/>
          <w:rFonts w:ascii="仿宋_GB2312" w:eastAsia="仿宋_GB2312" w:hint="eastAsia"/>
          <w:sz w:val="32"/>
          <w:szCs w:val="32"/>
        </w:rPr>
        <w:t>从审判实践分析，第三人撤销之诉案件数量持续增长，这与案外人对法律规定理解不全面、缺乏风险防范意识，甚至存有侥幸心理密切相关。特别是在房地产买卖领域，买受</w:t>
      </w:r>
      <w:r w:rsidRPr="00065F52">
        <w:rPr>
          <w:rStyle w:val="NormalCharacter"/>
          <w:rFonts w:ascii="仿宋_GB2312" w:eastAsia="仿宋_GB2312" w:hint="eastAsia"/>
          <w:sz w:val="32"/>
          <w:szCs w:val="32"/>
        </w:rPr>
        <w:lastRenderedPageBreak/>
        <w:t>人对所购不动产的权利状态未全面了解，对不动产是否存在权利负担不清楚，尤其是出现房屋未及时办理过户而出卖人因另案诉讼被查封、拍卖时，容易造成物权期待权不能有效实现，致使合法权益受损。因此，买受人在房产买卖中应全面了解不动产权利状态，现场实地查看房屋占有状况，保存好房款支付的相应证据，及时交付占有房屋并办理过户登记。因离婚协议涉及的房产归属约定而引发的纠纷也是第三人撤销之诉的高发领域。根据相关法律规定，夫妻婚姻关系存续期间的不动产</w:t>
      </w:r>
      <w:proofErr w:type="gramStart"/>
      <w:r w:rsidRPr="00065F52">
        <w:rPr>
          <w:rStyle w:val="NormalCharacter"/>
          <w:rFonts w:ascii="仿宋_GB2312" w:eastAsia="仿宋_GB2312" w:hint="eastAsia"/>
          <w:sz w:val="32"/>
          <w:szCs w:val="32"/>
        </w:rPr>
        <w:t>虽登记</w:t>
      </w:r>
      <w:proofErr w:type="gramEnd"/>
      <w:r w:rsidRPr="00065F52">
        <w:rPr>
          <w:rStyle w:val="NormalCharacter"/>
          <w:rFonts w:ascii="仿宋_GB2312" w:eastAsia="仿宋_GB2312" w:hint="eastAsia"/>
          <w:sz w:val="32"/>
          <w:szCs w:val="32"/>
        </w:rPr>
        <w:t>在一方名下，但除非双方另有约定，应归属双方共有。而夫妻双方离婚后对夫妻共同财产的协议分割未经依法办理变更登记，不能对抗第三人。实践中大量存在另一方的债权人请求执行已协议归属一方不动产的情况。因此，夫妻双方在离婚后对婚姻关系存续期间取得的不动产权属进行重新协议约定、与登记状况不一致时，应及时办理变更登记，避免引发不必要的争议。另外，银行基于抵押权与建设工程价款优先受偿权对抗而引发的第三人撤销之诉案件也不在少数。银行在发放贷款时应全面审查借款人的整体清偿能力，关注借款人的资产负债及正常交易流水情况，全面了解抵押物的权属状况，综合评估借款人的责任财产能力，避免不必要的诉讼风险。</w:t>
      </w:r>
    </w:p>
    <w:p w:rsidR="001503D0" w:rsidRPr="00065F52" w:rsidRDefault="001503D0" w:rsidP="001503D0">
      <w:pPr>
        <w:pStyle w:val="2"/>
        <w:spacing w:before="0" w:after="0"/>
        <w:ind w:firstLineChars="200" w:firstLine="640"/>
        <w:rPr>
          <w:rStyle w:val="NormalCharacter"/>
          <w:rFonts w:ascii="黑体" w:eastAsia="黑体" w:hAnsi="黑体" w:cs="Times New Roman"/>
          <w:b w:val="0"/>
          <w:bCs w:val="0"/>
        </w:rPr>
      </w:pPr>
      <w:bookmarkStart w:id="119" w:name="_Toc36114067"/>
      <w:r w:rsidRPr="00065F52">
        <w:rPr>
          <w:rStyle w:val="NormalCharacter"/>
          <w:rFonts w:ascii="黑体" w:eastAsia="黑体" w:hAnsi="黑体" w:cs="Times New Roman" w:hint="eastAsia"/>
          <w:b w:val="0"/>
          <w:bCs w:val="0"/>
        </w:rPr>
        <w:t>四、从严立案，限制滥诉，减轻当事人诉累</w:t>
      </w:r>
      <w:bookmarkEnd w:id="119"/>
    </w:p>
    <w:p w:rsidR="001503D0" w:rsidRPr="00065F52" w:rsidRDefault="001503D0" w:rsidP="001503D0">
      <w:pPr>
        <w:spacing w:line="560" w:lineRule="exact"/>
        <w:ind w:firstLineChars="200" w:firstLine="640"/>
        <w:rPr>
          <w:rStyle w:val="NormalCharacter"/>
          <w:rFonts w:ascii="仿宋_GB2312" w:eastAsia="仿宋_GB2312"/>
          <w:sz w:val="32"/>
          <w:szCs w:val="32"/>
        </w:rPr>
      </w:pPr>
      <w:r w:rsidRPr="00065F52">
        <w:rPr>
          <w:rStyle w:val="NormalCharacter"/>
          <w:rFonts w:ascii="仿宋_GB2312" w:eastAsia="仿宋_GB2312" w:hint="eastAsia"/>
          <w:sz w:val="32"/>
          <w:szCs w:val="32"/>
        </w:rPr>
        <w:t>第三人撤销之</w:t>
      </w:r>
      <w:proofErr w:type="gramStart"/>
      <w:r w:rsidRPr="00065F52">
        <w:rPr>
          <w:rStyle w:val="NormalCharacter"/>
          <w:rFonts w:ascii="仿宋_GB2312" w:eastAsia="仿宋_GB2312" w:hint="eastAsia"/>
          <w:sz w:val="32"/>
          <w:szCs w:val="32"/>
        </w:rPr>
        <w:t>诉作为</w:t>
      </w:r>
      <w:proofErr w:type="gramEnd"/>
      <w:r w:rsidRPr="00065F52">
        <w:rPr>
          <w:rStyle w:val="NormalCharacter"/>
          <w:rFonts w:ascii="仿宋_GB2312" w:eastAsia="仿宋_GB2312" w:hint="eastAsia"/>
          <w:sz w:val="32"/>
          <w:szCs w:val="32"/>
        </w:rPr>
        <w:t>一种事后纠错程序，也是对裁判的</w:t>
      </w:r>
      <w:r w:rsidRPr="00065F52">
        <w:rPr>
          <w:rStyle w:val="NormalCharacter"/>
          <w:rFonts w:ascii="仿宋_GB2312" w:eastAsia="仿宋_GB2312" w:hint="eastAsia"/>
          <w:sz w:val="32"/>
          <w:szCs w:val="32"/>
        </w:rPr>
        <w:lastRenderedPageBreak/>
        <w:t>既判力的冲击，容易导致法院的裁判长期处于不稳定的状态，有损司法权威。实践中也存在部分被执行人与第三人恶意串通，借第三人撤销之诉规避执行、影响申请执行人合法权益的问题。因此，应对第三人撤销之诉从严把关，严格按照相关法律规定，以案外人权益是否受损为核心审查要件，既确保案外第三人权益的全面保护，又有效避免当事人的滥诉问题。在立案审查阶段和审判阶段，应对第三人提供的证据材料进行严格审查，合理分析、判断当事人是否存在主观</w:t>
      </w:r>
      <w:r w:rsidR="00BA1ED9" w:rsidRPr="00ED6878">
        <w:rPr>
          <w:rStyle w:val="NormalCharacter"/>
          <w:rFonts w:ascii="仿宋_GB2312" w:eastAsia="仿宋_GB2312" w:hint="eastAsia"/>
          <w:sz w:val="32"/>
          <w:szCs w:val="32"/>
        </w:rPr>
        <w:t>恶意</w:t>
      </w:r>
      <w:r w:rsidRPr="00ED6878">
        <w:rPr>
          <w:rStyle w:val="NormalCharacter"/>
          <w:rFonts w:ascii="仿宋_GB2312" w:eastAsia="仿宋_GB2312" w:hint="eastAsia"/>
          <w:sz w:val="32"/>
          <w:szCs w:val="32"/>
        </w:rPr>
        <w:t>，</w:t>
      </w:r>
      <w:r w:rsidRPr="00065F52">
        <w:rPr>
          <w:rStyle w:val="NormalCharacter"/>
          <w:rFonts w:ascii="仿宋_GB2312" w:eastAsia="仿宋_GB2312" w:hint="eastAsia"/>
          <w:sz w:val="32"/>
          <w:szCs w:val="32"/>
        </w:rPr>
        <w:t>对不符合起诉要件的案件依法予以驳回或不予受理。</w:t>
      </w:r>
    </w:p>
    <w:p w:rsidR="001503D0" w:rsidRPr="00065F52" w:rsidRDefault="001503D0" w:rsidP="001503D0">
      <w:pPr>
        <w:pStyle w:val="2"/>
        <w:spacing w:before="0" w:after="0"/>
        <w:ind w:firstLineChars="200" w:firstLine="640"/>
        <w:rPr>
          <w:rStyle w:val="NormalCharacter"/>
          <w:rFonts w:ascii="黑体" w:eastAsia="黑体" w:hAnsi="黑体" w:cs="Times New Roman"/>
          <w:b w:val="0"/>
          <w:bCs w:val="0"/>
        </w:rPr>
      </w:pPr>
      <w:bookmarkStart w:id="120" w:name="_Toc36114068"/>
      <w:r w:rsidRPr="00065F52">
        <w:rPr>
          <w:rStyle w:val="NormalCharacter"/>
          <w:rFonts w:ascii="黑体" w:eastAsia="黑体" w:hAnsi="黑体" w:cs="Times New Roman" w:hint="eastAsia"/>
          <w:b w:val="0"/>
          <w:bCs w:val="0"/>
        </w:rPr>
        <w:t>五、惩治恶意虚假诉讼，维护正常司法秩序</w:t>
      </w:r>
      <w:bookmarkEnd w:id="120"/>
    </w:p>
    <w:p w:rsidR="001503D0" w:rsidRPr="00065F52" w:rsidRDefault="001503D0" w:rsidP="001503D0">
      <w:pPr>
        <w:spacing w:line="560" w:lineRule="exact"/>
        <w:ind w:firstLineChars="200" w:firstLine="640"/>
        <w:rPr>
          <w:rStyle w:val="NormalCharacter"/>
          <w:rFonts w:ascii="仿宋_GB2312" w:eastAsia="仿宋_GB2312"/>
          <w:sz w:val="32"/>
          <w:szCs w:val="32"/>
        </w:rPr>
      </w:pPr>
      <w:r w:rsidRPr="00065F52">
        <w:rPr>
          <w:rStyle w:val="NormalCharacter"/>
          <w:rFonts w:ascii="仿宋_GB2312" w:eastAsia="仿宋_GB2312" w:hint="eastAsia"/>
          <w:sz w:val="32"/>
          <w:szCs w:val="32"/>
        </w:rPr>
        <w:t>第三人撤销之诉的最初目的就是为了遏制、打击恶意虚假诉讼，保护第三人的合法权益。近年来，当事人双方利用虚假诉讼逃避债务、转移财产、规避责任的案件不在少数，且大有上升之势。此种情况下，一方面应</w:t>
      </w:r>
      <w:proofErr w:type="gramStart"/>
      <w:r w:rsidRPr="00065F52">
        <w:rPr>
          <w:rStyle w:val="NormalCharacter"/>
          <w:rFonts w:ascii="仿宋_GB2312" w:eastAsia="仿宋_GB2312" w:hint="eastAsia"/>
          <w:sz w:val="32"/>
          <w:szCs w:val="32"/>
        </w:rPr>
        <w:t>通过案</w:t>
      </w:r>
      <w:proofErr w:type="gramEnd"/>
      <w:r w:rsidRPr="00065F52">
        <w:rPr>
          <w:rStyle w:val="NormalCharacter"/>
          <w:rFonts w:ascii="仿宋_GB2312" w:eastAsia="仿宋_GB2312" w:hint="eastAsia"/>
          <w:sz w:val="32"/>
          <w:szCs w:val="32"/>
        </w:rPr>
        <w:t>外人救济程序对主张合法</w:t>
      </w:r>
      <w:r w:rsidR="0025792A">
        <w:rPr>
          <w:rStyle w:val="NormalCharacter"/>
          <w:rFonts w:ascii="仿宋_GB2312" w:eastAsia="仿宋_GB2312" w:hint="eastAsia"/>
          <w:sz w:val="32"/>
          <w:szCs w:val="32"/>
        </w:rPr>
        <w:t>权益</w:t>
      </w:r>
      <w:r w:rsidRPr="00065F52">
        <w:rPr>
          <w:rStyle w:val="NormalCharacter"/>
          <w:rFonts w:ascii="仿宋_GB2312" w:eastAsia="仿宋_GB2312" w:hint="eastAsia"/>
          <w:sz w:val="32"/>
          <w:szCs w:val="32"/>
        </w:rPr>
        <w:t>受损害的案外人提供救济，另一方面，也应加大对恶意虚假诉讼的惩治力</w:t>
      </w:r>
      <w:r w:rsidR="009E05E1">
        <w:rPr>
          <w:rStyle w:val="NormalCharacter"/>
          <w:rFonts w:ascii="仿宋_GB2312" w:eastAsia="仿宋_GB2312" w:hint="eastAsia"/>
          <w:sz w:val="32"/>
          <w:szCs w:val="32"/>
        </w:rPr>
        <w:t>度，由法院对虚假诉讼案件依法进行处罚。根据我国民事诉讼法</w:t>
      </w:r>
      <w:r w:rsidRPr="00065F52">
        <w:rPr>
          <w:rStyle w:val="NormalCharacter"/>
          <w:rFonts w:ascii="仿宋_GB2312" w:eastAsia="仿宋_GB2312" w:hint="eastAsia"/>
          <w:sz w:val="32"/>
          <w:szCs w:val="32"/>
        </w:rPr>
        <w:t>第</w:t>
      </w:r>
      <w:r w:rsidR="00BA1ED9">
        <w:rPr>
          <w:rStyle w:val="NormalCharacter"/>
          <w:rFonts w:ascii="仿宋_GB2312" w:eastAsia="仿宋_GB2312" w:hint="eastAsia"/>
          <w:sz w:val="32"/>
          <w:szCs w:val="32"/>
        </w:rPr>
        <w:t>一百一十二</w:t>
      </w:r>
      <w:r w:rsidR="009E05E1">
        <w:rPr>
          <w:rStyle w:val="NormalCharacter"/>
          <w:rFonts w:ascii="仿宋_GB2312" w:eastAsia="仿宋_GB2312" w:hint="eastAsia"/>
          <w:sz w:val="32"/>
          <w:szCs w:val="32"/>
        </w:rPr>
        <w:t>条</w:t>
      </w:r>
      <w:r w:rsidRPr="00065F52">
        <w:rPr>
          <w:rStyle w:val="NormalCharacter"/>
          <w:rFonts w:ascii="仿宋_GB2312" w:eastAsia="仿宋_GB2312" w:hint="eastAsia"/>
          <w:sz w:val="32"/>
          <w:szCs w:val="32"/>
        </w:rPr>
        <w:t>规定</w:t>
      </w:r>
      <w:r w:rsidR="009E05E1">
        <w:rPr>
          <w:rStyle w:val="NormalCharacter"/>
          <w:rFonts w:ascii="仿宋_GB2312" w:eastAsia="仿宋_GB2312" w:hint="eastAsia"/>
          <w:sz w:val="32"/>
          <w:szCs w:val="32"/>
        </w:rPr>
        <w:t>，</w:t>
      </w:r>
      <w:r w:rsidRPr="00065F52">
        <w:rPr>
          <w:rStyle w:val="NormalCharacter"/>
          <w:rFonts w:ascii="仿宋_GB2312" w:eastAsia="仿宋_GB2312" w:hint="eastAsia"/>
          <w:sz w:val="32"/>
          <w:szCs w:val="32"/>
        </w:rPr>
        <w:t>当事人之间恶意串通</w:t>
      </w:r>
      <w:r w:rsidR="009E05E1">
        <w:rPr>
          <w:rStyle w:val="NormalCharacter"/>
          <w:rFonts w:ascii="仿宋_GB2312" w:eastAsia="仿宋_GB2312" w:hint="eastAsia"/>
          <w:sz w:val="32"/>
          <w:szCs w:val="32"/>
        </w:rPr>
        <w:t>，企图通过诉讼、调解等方式侵害他人合法权益的，人民法院应当驳回其请求，并根据情节</w:t>
      </w:r>
      <w:r w:rsidRPr="00065F52">
        <w:rPr>
          <w:rStyle w:val="NormalCharacter"/>
          <w:rFonts w:ascii="仿宋_GB2312" w:eastAsia="仿宋_GB2312" w:hint="eastAsia"/>
          <w:sz w:val="32"/>
          <w:szCs w:val="32"/>
        </w:rPr>
        <w:t>轻重</w:t>
      </w:r>
      <w:r w:rsidR="009E05E1">
        <w:rPr>
          <w:rStyle w:val="NormalCharacter"/>
          <w:rFonts w:ascii="仿宋_GB2312" w:eastAsia="仿宋_GB2312" w:hint="eastAsia"/>
          <w:sz w:val="32"/>
          <w:szCs w:val="32"/>
        </w:rPr>
        <w:t>予以</w:t>
      </w:r>
      <w:r w:rsidRPr="00065F52">
        <w:rPr>
          <w:rStyle w:val="NormalCharacter"/>
          <w:rFonts w:ascii="仿宋_GB2312" w:eastAsia="仿宋_GB2312" w:hint="eastAsia"/>
          <w:sz w:val="32"/>
          <w:szCs w:val="32"/>
        </w:rPr>
        <w:t>罚款、拘留</w:t>
      </w:r>
      <w:r w:rsidR="009E05E1">
        <w:rPr>
          <w:rStyle w:val="NormalCharacter"/>
          <w:rFonts w:ascii="仿宋_GB2312" w:eastAsia="仿宋_GB2312" w:hint="eastAsia"/>
          <w:sz w:val="32"/>
          <w:szCs w:val="32"/>
        </w:rPr>
        <w:t>；构成犯罪的，依法</w:t>
      </w:r>
      <w:r w:rsidRPr="00065F52">
        <w:rPr>
          <w:rStyle w:val="NormalCharacter"/>
          <w:rFonts w:ascii="仿宋_GB2312" w:eastAsia="仿宋_GB2312" w:hint="eastAsia"/>
          <w:sz w:val="32"/>
          <w:szCs w:val="32"/>
        </w:rPr>
        <w:t>追究刑事责任</w:t>
      </w:r>
      <w:r w:rsidR="009E05E1">
        <w:rPr>
          <w:rStyle w:val="NormalCharacter"/>
          <w:rFonts w:ascii="仿宋_GB2312" w:eastAsia="仿宋_GB2312" w:hint="eastAsia"/>
          <w:sz w:val="32"/>
          <w:szCs w:val="32"/>
        </w:rPr>
        <w:t>。</w:t>
      </w:r>
      <w:r w:rsidRPr="00065F52">
        <w:rPr>
          <w:rStyle w:val="NormalCharacter"/>
          <w:rFonts w:ascii="仿宋_GB2312" w:eastAsia="仿宋_GB2312" w:hint="eastAsia"/>
          <w:sz w:val="32"/>
          <w:szCs w:val="32"/>
        </w:rPr>
        <w:t>因此，</w:t>
      </w:r>
      <w:r w:rsidR="00B81234">
        <w:rPr>
          <w:rStyle w:val="NormalCharacter"/>
          <w:rFonts w:ascii="仿宋_GB2312" w:eastAsia="仿宋_GB2312" w:hint="eastAsia"/>
          <w:sz w:val="32"/>
          <w:szCs w:val="32"/>
        </w:rPr>
        <w:t>应</w:t>
      </w:r>
      <w:r w:rsidRPr="00065F52">
        <w:rPr>
          <w:rStyle w:val="NormalCharacter"/>
          <w:rFonts w:ascii="仿宋_GB2312" w:eastAsia="仿宋_GB2312" w:hint="eastAsia"/>
          <w:sz w:val="32"/>
          <w:szCs w:val="32"/>
        </w:rPr>
        <w:t>对虚假诉讼现象进行依法惩治，情节较轻的，依法使用民事诉讼法中规定的强制措施；严重侵犯他人权益、情节恶劣的，依法追究</w:t>
      </w:r>
      <w:r w:rsidR="009E05E1">
        <w:rPr>
          <w:rStyle w:val="NormalCharacter"/>
          <w:rFonts w:ascii="仿宋_GB2312" w:eastAsia="仿宋_GB2312" w:hint="eastAsia"/>
          <w:sz w:val="32"/>
          <w:szCs w:val="32"/>
        </w:rPr>
        <w:t>刑事责任</w:t>
      </w:r>
      <w:r w:rsidRPr="00065F52">
        <w:rPr>
          <w:rStyle w:val="NormalCharacter"/>
          <w:rFonts w:ascii="仿宋_GB2312" w:eastAsia="仿宋_GB2312" w:hint="eastAsia"/>
          <w:sz w:val="32"/>
          <w:szCs w:val="32"/>
        </w:rPr>
        <w:t>，保障第三人的合法权益。对诉讼代理人参与虚假诉讼的，要依法予以制裁并可向司法行政部门、律</w:t>
      </w:r>
      <w:r w:rsidRPr="00065F52">
        <w:rPr>
          <w:rStyle w:val="NormalCharacter"/>
          <w:rFonts w:ascii="仿宋_GB2312" w:eastAsia="仿宋_GB2312" w:hint="eastAsia"/>
          <w:sz w:val="32"/>
          <w:szCs w:val="32"/>
        </w:rPr>
        <w:lastRenderedPageBreak/>
        <w:t>师协会或者行业协会等发出司法建议，并可与相关部门沟通协调，建立综合调研、共同治理的常态机制，形成全社会共同监督的氛围，维护正常的诉讼秩序，彰显公平正义。</w:t>
      </w:r>
    </w:p>
    <w:p w:rsidR="001503D0" w:rsidRPr="00065F52" w:rsidRDefault="001503D0" w:rsidP="001503D0">
      <w:pPr>
        <w:pStyle w:val="2"/>
        <w:spacing w:before="0" w:after="0"/>
        <w:ind w:firstLineChars="200" w:firstLine="640"/>
        <w:rPr>
          <w:rStyle w:val="NormalCharacter"/>
          <w:rFonts w:ascii="黑体" w:eastAsia="黑体" w:hAnsi="黑体" w:cs="Times New Roman"/>
          <w:b w:val="0"/>
          <w:bCs w:val="0"/>
        </w:rPr>
      </w:pPr>
      <w:bookmarkStart w:id="121" w:name="_Toc36114069"/>
      <w:r w:rsidRPr="00065F52">
        <w:rPr>
          <w:rStyle w:val="NormalCharacter"/>
          <w:rFonts w:ascii="黑体" w:eastAsia="黑体" w:hAnsi="黑体" w:cs="Times New Roman" w:hint="eastAsia"/>
          <w:b w:val="0"/>
          <w:bCs w:val="0"/>
        </w:rPr>
        <w:t>六、全面实施第三人撤销之诉案由法定化</w:t>
      </w:r>
      <w:bookmarkEnd w:id="121"/>
    </w:p>
    <w:p w:rsidR="001503D0" w:rsidRPr="00065F52" w:rsidRDefault="001503D0" w:rsidP="001503D0">
      <w:pPr>
        <w:spacing w:line="560" w:lineRule="exact"/>
        <w:ind w:firstLineChars="200" w:firstLine="640"/>
        <w:rPr>
          <w:rStyle w:val="NormalCharacter"/>
          <w:rFonts w:ascii="仿宋_GB2312" w:eastAsia="仿宋_GB2312"/>
          <w:sz w:val="32"/>
          <w:szCs w:val="32"/>
        </w:rPr>
      </w:pPr>
      <w:r w:rsidRPr="00065F52">
        <w:rPr>
          <w:rStyle w:val="NormalCharacter"/>
          <w:rFonts w:ascii="仿宋_GB2312" w:eastAsia="仿宋_GB2312" w:hint="eastAsia"/>
          <w:sz w:val="32"/>
          <w:szCs w:val="32"/>
        </w:rPr>
        <w:t>鉴于目前我国</w:t>
      </w:r>
      <w:r w:rsidR="00BA1ED9">
        <w:rPr>
          <w:rStyle w:val="NormalCharacter"/>
          <w:rFonts w:ascii="仿宋_GB2312" w:eastAsia="仿宋_GB2312" w:hint="eastAsia"/>
          <w:sz w:val="32"/>
          <w:szCs w:val="32"/>
        </w:rPr>
        <w:t>司法</w:t>
      </w:r>
      <w:r w:rsidRPr="00065F52">
        <w:rPr>
          <w:rStyle w:val="NormalCharacter"/>
          <w:rFonts w:ascii="仿宋_GB2312" w:eastAsia="仿宋_GB2312" w:hint="eastAsia"/>
          <w:sz w:val="32"/>
          <w:szCs w:val="32"/>
        </w:rPr>
        <w:t>实务界对第三人撤销之诉案件立案案由不一而足的现状，应将第三人撤销之诉的案由法定化。由于立法时间的先后及认识上的偏差问题，第三人撤销</w:t>
      </w:r>
      <w:proofErr w:type="gramStart"/>
      <w:r w:rsidRPr="00065F52">
        <w:rPr>
          <w:rStyle w:val="NormalCharacter"/>
          <w:rFonts w:ascii="仿宋_GB2312" w:eastAsia="仿宋_GB2312" w:hint="eastAsia"/>
          <w:sz w:val="32"/>
          <w:szCs w:val="32"/>
        </w:rPr>
        <w:t>之诉并未</w:t>
      </w:r>
      <w:proofErr w:type="gramEnd"/>
      <w:r w:rsidRPr="00065F52">
        <w:rPr>
          <w:rStyle w:val="NormalCharacter"/>
          <w:rFonts w:ascii="仿宋_GB2312" w:eastAsia="仿宋_GB2312" w:hint="eastAsia"/>
          <w:sz w:val="32"/>
          <w:szCs w:val="32"/>
        </w:rPr>
        <w:t>统一作为法定案由，造成了司法实践当中部分法院将这类案件的案由确定为“债权人撤销之诉”，更有法院直接适用原审案件的案由，造成在多数情况下与第三人撤销之诉案件涉及的纠纷存在区别，使得法院对第三人撤销之诉的实务应用不协调，相关司法数据也不能准确掌握。应当进一步明确落实相关法律规定，将第三人撤销之诉纳入法定案由之中，为司法实践确立统一标准。</w:t>
      </w:r>
    </w:p>
    <w:p w:rsidR="001503D0" w:rsidRPr="00065F52" w:rsidRDefault="001503D0" w:rsidP="001503D0">
      <w:pPr>
        <w:pStyle w:val="2"/>
        <w:spacing w:before="0" w:after="0"/>
        <w:ind w:firstLineChars="200" w:firstLine="640"/>
        <w:rPr>
          <w:rStyle w:val="NormalCharacter"/>
          <w:rFonts w:ascii="黑体" w:eastAsia="黑体" w:hAnsi="黑体" w:cs="Times New Roman"/>
          <w:b w:val="0"/>
          <w:bCs w:val="0"/>
        </w:rPr>
      </w:pPr>
      <w:bookmarkStart w:id="122" w:name="_Toc36114070"/>
      <w:r w:rsidRPr="00065F52">
        <w:rPr>
          <w:rStyle w:val="NormalCharacter"/>
          <w:rFonts w:ascii="黑体" w:eastAsia="黑体" w:hAnsi="黑体" w:cs="Times New Roman" w:hint="eastAsia"/>
          <w:b w:val="0"/>
          <w:bCs w:val="0"/>
        </w:rPr>
        <w:t>七、加强业务交流，统一</w:t>
      </w:r>
      <w:r w:rsidR="00ED6878">
        <w:rPr>
          <w:rStyle w:val="NormalCharacter"/>
          <w:rFonts w:ascii="黑体" w:eastAsia="黑体" w:hAnsi="黑体" w:cs="Times New Roman" w:hint="eastAsia"/>
          <w:b w:val="0"/>
          <w:bCs w:val="0"/>
        </w:rPr>
        <w:t>裁判</w:t>
      </w:r>
      <w:r w:rsidRPr="00ED6878">
        <w:rPr>
          <w:rStyle w:val="NormalCharacter"/>
          <w:rFonts w:ascii="黑体" w:eastAsia="黑体" w:hAnsi="黑体" w:cs="Times New Roman" w:hint="eastAsia"/>
          <w:b w:val="0"/>
          <w:bCs w:val="0"/>
        </w:rPr>
        <w:t>尺度</w:t>
      </w:r>
      <w:r w:rsidRPr="00065F52">
        <w:rPr>
          <w:rStyle w:val="NormalCharacter"/>
          <w:rFonts w:ascii="黑体" w:eastAsia="黑体" w:hAnsi="黑体" w:cs="Times New Roman" w:hint="eastAsia"/>
          <w:b w:val="0"/>
          <w:bCs w:val="0"/>
        </w:rPr>
        <w:t>，总结实践经验</w:t>
      </w:r>
      <w:bookmarkEnd w:id="122"/>
    </w:p>
    <w:p w:rsidR="00E07526" w:rsidRPr="005F55B3" w:rsidRDefault="001503D0" w:rsidP="005F55B3">
      <w:pPr>
        <w:spacing w:line="560" w:lineRule="exact"/>
        <w:ind w:firstLineChars="200" w:firstLine="640"/>
        <w:rPr>
          <w:rFonts w:ascii="仿宋_GB2312" w:eastAsia="仿宋_GB2312"/>
          <w:sz w:val="32"/>
          <w:szCs w:val="32"/>
        </w:rPr>
      </w:pPr>
      <w:r w:rsidRPr="00065F52">
        <w:rPr>
          <w:rStyle w:val="NormalCharacter"/>
          <w:rFonts w:ascii="仿宋_GB2312" w:eastAsia="仿宋_GB2312" w:hint="eastAsia"/>
          <w:sz w:val="32"/>
          <w:szCs w:val="32"/>
        </w:rPr>
        <w:t>第三人撤销之</w:t>
      </w:r>
      <w:proofErr w:type="gramStart"/>
      <w:r w:rsidRPr="00065F52">
        <w:rPr>
          <w:rStyle w:val="NormalCharacter"/>
          <w:rFonts w:ascii="仿宋_GB2312" w:eastAsia="仿宋_GB2312" w:hint="eastAsia"/>
          <w:sz w:val="32"/>
          <w:szCs w:val="32"/>
        </w:rPr>
        <w:t>诉作为案</w:t>
      </w:r>
      <w:proofErr w:type="gramEnd"/>
      <w:r w:rsidRPr="00065F52">
        <w:rPr>
          <w:rStyle w:val="NormalCharacter"/>
          <w:rFonts w:ascii="仿宋_GB2312" w:eastAsia="仿宋_GB2312" w:hint="eastAsia"/>
          <w:sz w:val="32"/>
          <w:szCs w:val="32"/>
        </w:rPr>
        <w:t>外人救济程序，其起诉主张的权利涉及民事权利类型众多，既要求法官熟悉程序规定，又要精通相关实体法律规定，如物权法、合同法、担保法、婚姻法等实体法律法规，对法官的业务能力和业务水平均提出了更高的要求。对于审判实践中的各类疑难复杂问题，理论界多存争议</w:t>
      </w:r>
      <w:r w:rsidR="009E05E1">
        <w:rPr>
          <w:rStyle w:val="NormalCharacter"/>
          <w:rFonts w:ascii="仿宋_GB2312" w:eastAsia="仿宋_GB2312" w:hint="eastAsia"/>
          <w:sz w:val="32"/>
          <w:szCs w:val="32"/>
        </w:rPr>
        <w:t>。</w:t>
      </w:r>
      <w:r w:rsidRPr="00065F52">
        <w:rPr>
          <w:rStyle w:val="NormalCharacter"/>
          <w:rFonts w:ascii="仿宋_GB2312" w:eastAsia="仿宋_GB2312" w:hint="eastAsia"/>
          <w:sz w:val="32"/>
          <w:szCs w:val="32"/>
        </w:rPr>
        <w:t>因此，有必要统一裁判标准，并通过发布典型案例、加大业务培训、开展联合调研、座谈研讨等方式，加强业务交流，总结审判实践经验，全面提升法官审判业务能力，解决司法适用难题。</w:t>
      </w:r>
    </w:p>
    <w:sectPr w:rsidR="00E07526" w:rsidRPr="005F55B3" w:rsidSect="006D40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078" w:rsidRDefault="00304078" w:rsidP="00FC5571">
      <w:r>
        <w:separator/>
      </w:r>
    </w:p>
  </w:endnote>
  <w:endnote w:type="continuationSeparator" w:id="0">
    <w:p w:rsidR="00304078" w:rsidRDefault="00304078" w:rsidP="00FC55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078" w:rsidRDefault="00304078" w:rsidP="00FC5571">
      <w:r>
        <w:separator/>
      </w:r>
    </w:p>
  </w:footnote>
  <w:footnote w:type="continuationSeparator" w:id="0">
    <w:p w:rsidR="00304078" w:rsidRDefault="00304078" w:rsidP="00FC55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2141"/>
    <w:multiLevelType w:val="hybridMultilevel"/>
    <w:tmpl w:val="43AED8EC"/>
    <w:lvl w:ilvl="0" w:tplc="61208FE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C3D29FF"/>
    <w:multiLevelType w:val="multilevel"/>
    <w:tmpl w:val="0C3D29FF"/>
    <w:lvl w:ilvl="0">
      <w:start w:val="1"/>
      <w:numFmt w:val="chineseCountingThousand"/>
      <w:pStyle w:val="Heading2"/>
      <w:lvlText w:val="(%1)"/>
      <w:lvlJc w:val="left"/>
      <w:pPr>
        <w:ind w:left="480" w:hanging="480"/>
        <w:textAlignment w:val="baseline"/>
      </w:pPr>
      <w:rPr>
        <w:rFonts w:ascii="Calibri" w:eastAsia="Calibri" w:hAnsi="Calibri"/>
      </w:rPr>
    </w:lvl>
    <w:lvl w:ilvl="1">
      <w:start w:val="1"/>
      <w:numFmt w:val="lowerLetter"/>
      <w:lvlText w:val="%1)"/>
      <w:lvlJc w:val="left"/>
      <w:pPr>
        <w:ind w:left="960" w:hanging="480"/>
        <w:textAlignment w:val="baseline"/>
      </w:pPr>
    </w:lvl>
    <w:lvl w:ilvl="2">
      <w:start w:val="1"/>
      <w:numFmt w:val="lowerRoman"/>
      <w:lvlText w:val="%1."/>
      <w:lvlJc w:val="right"/>
      <w:pPr>
        <w:ind w:left="1440" w:hanging="480"/>
        <w:textAlignment w:val="baseline"/>
      </w:pPr>
    </w:lvl>
    <w:lvl w:ilvl="3">
      <w:start w:val="1"/>
      <w:numFmt w:val="decimal"/>
      <w:lvlText w:val="%1."/>
      <w:lvlJc w:val="left"/>
      <w:pPr>
        <w:ind w:left="1920" w:hanging="480"/>
        <w:textAlignment w:val="baseline"/>
      </w:pPr>
    </w:lvl>
    <w:lvl w:ilvl="4">
      <w:start w:val="1"/>
      <w:numFmt w:val="lowerLetter"/>
      <w:lvlText w:val="%1)"/>
      <w:lvlJc w:val="left"/>
      <w:pPr>
        <w:ind w:left="2400" w:hanging="480"/>
        <w:textAlignment w:val="baseline"/>
      </w:pPr>
    </w:lvl>
    <w:lvl w:ilvl="5">
      <w:start w:val="1"/>
      <w:numFmt w:val="lowerRoman"/>
      <w:lvlText w:val="%1."/>
      <w:lvlJc w:val="right"/>
      <w:pPr>
        <w:ind w:left="2880" w:hanging="480"/>
        <w:textAlignment w:val="baseline"/>
      </w:pPr>
    </w:lvl>
    <w:lvl w:ilvl="6">
      <w:start w:val="1"/>
      <w:numFmt w:val="decimal"/>
      <w:lvlText w:val="%1."/>
      <w:lvlJc w:val="left"/>
      <w:pPr>
        <w:ind w:left="3360" w:hanging="480"/>
        <w:textAlignment w:val="baseline"/>
      </w:pPr>
    </w:lvl>
    <w:lvl w:ilvl="7">
      <w:start w:val="1"/>
      <w:numFmt w:val="lowerLetter"/>
      <w:lvlText w:val="%1)"/>
      <w:lvlJc w:val="left"/>
      <w:pPr>
        <w:ind w:left="3840" w:hanging="480"/>
        <w:textAlignment w:val="baseline"/>
      </w:pPr>
    </w:lvl>
    <w:lvl w:ilvl="8">
      <w:start w:val="1"/>
      <w:numFmt w:val="lowerRoman"/>
      <w:lvlText w:val="%1."/>
      <w:lvlJc w:val="right"/>
      <w:pPr>
        <w:ind w:left="4320" w:hanging="480"/>
        <w:textAlignment w:val="baseline"/>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5571"/>
    <w:rsid w:val="00012080"/>
    <w:rsid w:val="000142C0"/>
    <w:rsid w:val="00021E1E"/>
    <w:rsid w:val="00065F52"/>
    <w:rsid w:val="000668AA"/>
    <w:rsid w:val="000754A9"/>
    <w:rsid w:val="00091D43"/>
    <w:rsid w:val="000B635D"/>
    <w:rsid w:val="001116A1"/>
    <w:rsid w:val="00134C54"/>
    <w:rsid w:val="001503D0"/>
    <w:rsid w:val="00150922"/>
    <w:rsid w:val="001E746D"/>
    <w:rsid w:val="00215451"/>
    <w:rsid w:val="00254308"/>
    <w:rsid w:val="0025792A"/>
    <w:rsid w:val="0028503A"/>
    <w:rsid w:val="002A49BF"/>
    <w:rsid w:val="002A7B1A"/>
    <w:rsid w:val="002E0123"/>
    <w:rsid w:val="002E71C3"/>
    <w:rsid w:val="002E7367"/>
    <w:rsid w:val="002F376E"/>
    <w:rsid w:val="00304078"/>
    <w:rsid w:val="00304EB9"/>
    <w:rsid w:val="003320FD"/>
    <w:rsid w:val="003376E9"/>
    <w:rsid w:val="00364E65"/>
    <w:rsid w:val="00365362"/>
    <w:rsid w:val="003B4B7B"/>
    <w:rsid w:val="003B57C8"/>
    <w:rsid w:val="003C5B66"/>
    <w:rsid w:val="00415BC3"/>
    <w:rsid w:val="0046626B"/>
    <w:rsid w:val="004B7EF8"/>
    <w:rsid w:val="00516C85"/>
    <w:rsid w:val="005B73D1"/>
    <w:rsid w:val="005F1B1C"/>
    <w:rsid w:val="005F55B3"/>
    <w:rsid w:val="005F5BD6"/>
    <w:rsid w:val="00682A8E"/>
    <w:rsid w:val="0068488C"/>
    <w:rsid w:val="006B7F21"/>
    <w:rsid w:val="006D4030"/>
    <w:rsid w:val="006F1F71"/>
    <w:rsid w:val="007126F4"/>
    <w:rsid w:val="00733C64"/>
    <w:rsid w:val="0077537D"/>
    <w:rsid w:val="00842E27"/>
    <w:rsid w:val="00850798"/>
    <w:rsid w:val="00851518"/>
    <w:rsid w:val="008C28ED"/>
    <w:rsid w:val="008D6E52"/>
    <w:rsid w:val="00902707"/>
    <w:rsid w:val="00921E67"/>
    <w:rsid w:val="009826B2"/>
    <w:rsid w:val="009C3AC1"/>
    <w:rsid w:val="009E05E1"/>
    <w:rsid w:val="00A65F3E"/>
    <w:rsid w:val="00A66473"/>
    <w:rsid w:val="00A75EC1"/>
    <w:rsid w:val="00AB3362"/>
    <w:rsid w:val="00AC3075"/>
    <w:rsid w:val="00B81234"/>
    <w:rsid w:val="00B81AAB"/>
    <w:rsid w:val="00B8680F"/>
    <w:rsid w:val="00BA1ED9"/>
    <w:rsid w:val="00C15ED8"/>
    <w:rsid w:val="00CD2B8E"/>
    <w:rsid w:val="00CF21EB"/>
    <w:rsid w:val="00D0315D"/>
    <w:rsid w:val="00D73319"/>
    <w:rsid w:val="00D93276"/>
    <w:rsid w:val="00DB1CFD"/>
    <w:rsid w:val="00DB4387"/>
    <w:rsid w:val="00E039CE"/>
    <w:rsid w:val="00E05C58"/>
    <w:rsid w:val="00E07526"/>
    <w:rsid w:val="00E20A93"/>
    <w:rsid w:val="00E2464D"/>
    <w:rsid w:val="00E56330"/>
    <w:rsid w:val="00E72CBF"/>
    <w:rsid w:val="00E74E54"/>
    <w:rsid w:val="00EB23BE"/>
    <w:rsid w:val="00ED6878"/>
    <w:rsid w:val="00F0546D"/>
    <w:rsid w:val="00F414B8"/>
    <w:rsid w:val="00F6430B"/>
    <w:rsid w:val="00F911D4"/>
    <w:rsid w:val="00FC5571"/>
    <w:rsid w:val="00FE04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571"/>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5B73D1"/>
    <w:pPr>
      <w:keepNext/>
      <w:keepLines/>
      <w:widowControl/>
      <w:spacing w:before="340" w:after="330" w:line="578" w:lineRule="auto"/>
      <w:textAlignment w:val="baseline"/>
      <w:outlineLvl w:val="0"/>
    </w:pPr>
    <w:rPr>
      <w:b/>
      <w:bCs/>
      <w:kern w:val="44"/>
      <w:sz w:val="44"/>
      <w:szCs w:val="44"/>
    </w:rPr>
  </w:style>
  <w:style w:type="paragraph" w:styleId="2">
    <w:name w:val="heading 2"/>
    <w:basedOn w:val="a"/>
    <w:next w:val="a"/>
    <w:link w:val="2Char"/>
    <w:uiPriority w:val="9"/>
    <w:unhideWhenUsed/>
    <w:qFormat/>
    <w:rsid w:val="005B73D1"/>
    <w:pPr>
      <w:keepNext/>
      <w:keepLines/>
      <w:widowControl/>
      <w:spacing w:before="260" w:after="260" w:line="416" w:lineRule="auto"/>
      <w:textAlignment w:val="baseline"/>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557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C5571"/>
    <w:rPr>
      <w:sz w:val="18"/>
      <w:szCs w:val="18"/>
    </w:rPr>
  </w:style>
  <w:style w:type="paragraph" w:styleId="a4">
    <w:name w:val="footer"/>
    <w:basedOn w:val="a"/>
    <w:link w:val="Char0"/>
    <w:uiPriority w:val="99"/>
    <w:semiHidden/>
    <w:unhideWhenUsed/>
    <w:rsid w:val="00FC557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C5571"/>
    <w:rPr>
      <w:sz w:val="18"/>
      <w:szCs w:val="18"/>
    </w:rPr>
  </w:style>
  <w:style w:type="character" w:customStyle="1" w:styleId="1Char">
    <w:name w:val="标题 1 Char"/>
    <w:basedOn w:val="a0"/>
    <w:link w:val="1"/>
    <w:uiPriority w:val="9"/>
    <w:rsid w:val="005B73D1"/>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5B73D1"/>
    <w:rPr>
      <w:rFonts w:asciiTheme="majorHAnsi" w:eastAsiaTheme="majorEastAsia" w:hAnsiTheme="majorHAnsi" w:cstheme="majorBidi"/>
      <w:b/>
      <w:bCs/>
      <w:sz w:val="32"/>
      <w:szCs w:val="32"/>
    </w:rPr>
  </w:style>
  <w:style w:type="character" w:styleId="a5">
    <w:name w:val="Hyperlink"/>
    <w:uiPriority w:val="99"/>
    <w:rsid w:val="005B73D1"/>
    <w:rPr>
      <w:color w:val="FE6301"/>
    </w:rPr>
  </w:style>
  <w:style w:type="paragraph" w:customStyle="1" w:styleId="Heading2">
    <w:name w:val="Heading2"/>
    <w:basedOn w:val="a"/>
    <w:next w:val="a"/>
    <w:qFormat/>
    <w:rsid w:val="005B73D1"/>
    <w:pPr>
      <w:keepNext/>
      <w:keepLines/>
      <w:widowControl/>
      <w:numPr>
        <w:numId w:val="1"/>
      </w:numPr>
      <w:spacing w:before="120" w:after="120" w:line="360" w:lineRule="auto"/>
      <w:ind w:left="482" w:hanging="482"/>
    </w:pPr>
    <w:rPr>
      <w:rFonts w:eastAsia="Calibri"/>
    </w:rPr>
  </w:style>
  <w:style w:type="character" w:customStyle="1" w:styleId="NormalCharacter">
    <w:name w:val="NormalCharacter"/>
    <w:semiHidden/>
    <w:qFormat/>
    <w:rsid w:val="005B73D1"/>
  </w:style>
  <w:style w:type="paragraph" w:styleId="TOC">
    <w:name w:val="TOC Heading"/>
    <w:basedOn w:val="1"/>
    <w:next w:val="a"/>
    <w:uiPriority w:val="39"/>
    <w:unhideWhenUsed/>
    <w:qFormat/>
    <w:rsid w:val="005B73D1"/>
    <w:pPr>
      <w:spacing w:before="240" w:after="0" w:line="259" w:lineRule="auto"/>
      <w:jc w:val="left"/>
      <w:textAlignment w:val="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0">
    <w:name w:val="toc 1"/>
    <w:basedOn w:val="a"/>
    <w:next w:val="a"/>
    <w:autoRedefine/>
    <w:uiPriority w:val="39"/>
    <w:unhideWhenUsed/>
    <w:rsid w:val="005B73D1"/>
    <w:pPr>
      <w:widowControl/>
      <w:textAlignment w:val="baseline"/>
    </w:pPr>
  </w:style>
  <w:style w:type="paragraph" w:styleId="20">
    <w:name w:val="toc 2"/>
    <w:basedOn w:val="a"/>
    <w:next w:val="a"/>
    <w:autoRedefine/>
    <w:uiPriority w:val="39"/>
    <w:unhideWhenUsed/>
    <w:rsid w:val="005B73D1"/>
    <w:pPr>
      <w:widowControl/>
      <w:ind w:leftChars="200" w:left="420"/>
      <w:textAlignment w:val="baseline"/>
    </w:pPr>
  </w:style>
  <w:style w:type="paragraph" w:styleId="3">
    <w:name w:val="toc 3"/>
    <w:basedOn w:val="a"/>
    <w:next w:val="a"/>
    <w:autoRedefine/>
    <w:uiPriority w:val="39"/>
    <w:semiHidden/>
    <w:unhideWhenUsed/>
    <w:rsid w:val="006B7F21"/>
    <w:pPr>
      <w:ind w:leftChars="400" w:left="840"/>
    </w:pPr>
  </w:style>
  <w:style w:type="paragraph" w:styleId="a6">
    <w:name w:val="Balloon Text"/>
    <w:basedOn w:val="a"/>
    <w:link w:val="Char1"/>
    <w:uiPriority w:val="99"/>
    <w:semiHidden/>
    <w:unhideWhenUsed/>
    <w:rsid w:val="001503D0"/>
    <w:rPr>
      <w:sz w:val="18"/>
      <w:szCs w:val="18"/>
    </w:rPr>
  </w:style>
  <w:style w:type="character" w:customStyle="1" w:styleId="Char1">
    <w:name w:val="批注框文本 Char"/>
    <w:basedOn w:val="a0"/>
    <w:link w:val="a6"/>
    <w:uiPriority w:val="99"/>
    <w:semiHidden/>
    <w:rsid w:val="001503D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chart" Target="charts/chart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_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___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__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___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___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执行异议受理案件数量图表</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Sheet1!$B$1</c:f>
              <c:strCache>
                <c:ptCount val="1"/>
                <c:pt idx="0">
                  <c:v>执行异议之诉案件</c:v>
                </c:pt>
              </c:strCache>
            </c:strRef>
          </c:tx>
          <c:spPr>
            <a:solidFill>
              <a:schemeClr val="accent1"/>
            </a:solidFill>
            <a:ln>
              <a:noFill/>
            </a:ln>
            <a:effectLst/>
            <a:sp3d/>
          </c:spPr>
          <c:cat>
            <c:strRef>
              <c:f>Sheet1!$A$2:$A$4</c:f>
              <c:strCache>
                <c:ptCount val="3"/>
                <c:pt idx="0">
                  <c:v>2017年</c:v>
                </c:pt>
                <c:pt idx="1">
                  <c:v>2018年</c:v>
                </c:pt>
                <c:pt idx="2">
                  <c:v>2019年</c:v>
                </c:pt>
              </c:strCache>
            </c:strRef>
          </c:cat>
          <c:val>
            <c:numRef>
              <c:f>Sheet1!$B$2:$B$4</c:f>
              <c:numCache>
                <c:formatCode>General</c:formatCode>
                <c:ptCount val="3"/>
                <c:pt idx="0">
                  <c:v>385</c:v>
                </c:pt>
                <c:pt idx="1">
                  <c:v>540</c:v>
                </c:pt>
                <c:pt idx="2">
                  <c:v>833</c:v>
                </c:pt>
              </c:numCache>
            </c:numRef>
          </c:val>
          <c:extLst xmlns:c16r2="http://schemas.microsoft.com/office/drawing/2015/06/chart">
            <c:ext xmlns:c16="http://schemas.microsoft.com/office/drawing/2014/chart" uri="{C3380CC4-5D6E-409C-BE32-E72D297353CC}">
              <c16:uniqueId val="{00000000-D1FF-402F-8DEE-D11016880CB1}"/>
            </c:ext>
          </c:extLst>
        </c:ser>
        <c:ser>
          <c:idx val="1"/>
          <c:order val="1"/>
          <c:tx>
            <c:strRef>
              <c:f>Sheet1!$C$1</c:f>
              <c:strCache>
                <c:ptCount val="1"/>
                <c:pt idx="0">
                  <c:v>执行审查程序实体异议案件</c:v>
                </c:pt>
              </c:strCache>
            </c:strRef>
          </c:tx>
          <c:spPr>
            <a:solidFill>
              <a:schemeClr val="accent2"/>
            </a:solidFill>
            <a:ln>
              <a:noFill/>
            </a:ln>
            <a:effectLst/>
            <a:sp3d/>
          </c:spPr>
          <c:cat>
            <c:strRef>
              <c:f>Sheet1!$A$2:$A$4</c:f>
              <c:strCache>
                <c:ptCount val="3"/>
                <c:pt idx="0">
                  <c:v>2017年</c:v>
                </c:pt>
                <c:pt idx="1">
                  <c:v>2018年</c:v>
                </c:pt>
                <c:pt idx="2">
                  <c:v>2019年</c:v>
                </c:pt>
              </c:strCache>
            </c:strRef>
          </c:cat>
          <c:val>
            <c:numRef>
              <c:f>Sheet1!$C$2:$C$4</c:f>
              <c:numCache>
                <c:formatCode>General</c:formatCode>
                <c:ptCount val="3"/>
                <c:pt idx="0">
                  <c:v>501</c:v>
                </c:pt>
                <c:pt idx="1">
                  <c:v>805</c:v>
                </c:pt>
                <c:pt idx="2">
                  <c:v>1038</c:v>
                </c:pt>
              </c:numCache>
            </c:numRef>
          </c:val>
          <c:extLst xmlns:c16r2="http://schemas.microsoft.com/office/drawing/2015/06/chart">
            <c:ext xmlns:c16="http://schemas.microsoft.com/office/drawing/2014/chart" uri="{C3380CC4-5D6E-409C-BE32-E72D297353CC}">
              <c16:uniqueId val="{00000001-D1FF-402F-8DEE-D11016880CB1}"/>
            </c:ext>
          </c:extLst>
        </c:ser>
        <c:shape val="box"/>
        <c:axId val="193734912"/>
        <c:axId val="207751424"/>
        <c:axId val="0"/>
      </c:bar3DChart>
      <c:catAx>
        <c:axId val="19373491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07751424"/>
        <c:crosses val="autoZero"/>
        <c:auto val="1"/>
        <c:lblAlgn val="ctr"/>
        <c:lblOffset val="100"/>
      </c:catAx>
      <c:valAx>
        <c:axId val="2077514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9373491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案件增长率比较图</a:t>
            </a:r>
          </a:p>
        </c:rich>
      </c:tx>
      <c:spPr>
        <a:noFill/>
        <a:ln>
          <a:noFill/>
        </a:ln>
        <a:effectLst/>
      </c:spPr>
    </c:title>
    <c:plotArea>
      <c:layout/>
      <c:radarChart>
        <c:radarStyle val="marker"/>
        <c:ser>
          <c:idx val="0"/>
          <c:order val="0"/>
          <c:tx>
            <c:strRef>
              <c:f>Sheet1!$B$1</c:f>
              <c:strCache>
                <c:ptCount val="1"/>
                <c:pt idx="0">
                  <c:v>2018年增幅</c:v>
                </c:pt>
              </c:strCache>
            </c:strRef>
          </c:tx>
          <c:spPr>
            <a:ln w="28575" cap="rnd">
              <a:solidFill>
                <a:schemeClr val="accent1"/>
              </a:solidFill>
              <a:round/>
            </a:ln>
            <a:effectLst/>
          </c:spPr>
          <c:marker>
            <c:symbol val="none"/>
          </c:marker>
          <c:cat>
            <c:strRef>
              <c:f>Sheet1!$A$2:$A$4</c:f>
              <c:strCache>
                <c:ptCount val="3"/>
                <c:pt idx="0">
                  <c:v>执行异议之诉</c:v>
                </c:pt>
                <c:pt idx="1">
                  <c:v>民间借贷案件</c:v>
                </c:pt>
                <c:pt idx="2">
                  <c:v>婚姻家庭类案件</c:v>
                </c:pt>
              </c:strCache>
            </c:strRef>
          </c:cat>
          <c:val>
            <c:numRef>
              <c:f>Sheet1!$B$2:$B$4</c:f>
              <c:numCache>
                <c:formatCode>General</c:formatCode>
                <c:ptCount val="3"/>
                <c:pt idx="0">
                  <c:v>47</c:v>
                </c:pt>
                <c:pt idx="1">
                  <c:v>30</c:v>
                </c:pt>
                <c:pt idx="2">
                  <c:v>7</c:v>
                </c:pt>
              </c:numCache>
            </c:numRef>
          </c:val>
          <c:extLst xmlns:c16r2="http://schemas.microsoft.com/office/drawing/2015/06/chart">
            <c:ext xmlns:c16="http://schemas.microsoft.com/office/drawing/2014/chart" uri="{C3380CC4-5D6E-409C-BE32-E72D297353CC}">
              <c16:uniqueId val="{00000000-1F33-45DB-A40C-4F7BC22A1AF7}"/>
            </c:ext>
          </c:extLst>
        </c:ser>
        <c:ser>
          <c:idx val="1"/>
          <c:order val="1"/>
          <c:tx>
            <c:strRef>
              <c:f>Sheet1!$C$1</c:f>
              <c:strCache>
                <c:ptCount val="1"/>
                <c:pt idx="0">
                  <c:v>2019年增幅</c:v>
                </c:pt>
              </c:strCache>
            </c:strRef>
          </c:tx>
          <c:spPr>
            <a:ln w="28575" cap="rnd">
              <a:solidFill>
                <a:schemeClr val="accent2"/>
              </a:solidFill>
              <a:round/>
            </a:ln>
            <a:effectLst/>
          </c:spPr>
          <c:marker>
            <c:symbol val="none"/>
          </c:marker>
          <c:cat>
            <c:strRef>
              <c:f>Sheet1!$A$2:$A$4</c:f>
              <c:strCache>
                <c:ptCount val="3"/>
                <c:pt idx="0">
                  <c:v>执行异议之诉</c:v>
                </c:pt>
                <c:pt idx="1">
                  <c:v>民间借贷案件</c:v>
                </c:pt>
                <c:pt idx="2">
                  <c:v>婚姻家庭类案件</c:v>
                </c:pt>
              </c:strCache>
            </c:strRef>
          </c:cat>
          <c:val>
            <c:numRef>
              <c:f>Sheet1!$C$2:$C$4</c:f>
              <c:numCache>
                <c:formatCode>General</c:formatCode>
                <c:ptCount val="3"/>
                <c:pt idx="0">
                  <c:v>115</c:v>
                </c:pt>
                <c:pt idx="1">
                  <c:v>70</c:v>
                </c:pt>
                <c:pt idx="2">
                  <c:v>0</c:v>
                </c:pt>
              </c:numCache>
            </c:numRef>
          </c:val>
          <c:extLst xmlns:c16r2="http://schemas.microsoft.com/office/drawing/2015/06/chart">
            <c:ext xmlns:c16="http://schemas.microsoft.com/office/drawing/2014/chart" uri="{C3380CC4-5D6E-409C-BE32-E72D297353CC}">
              <c16:uniqueId val="{00000001-1F33-45DB-A40C-4F7BC22A1AF7}"/>
            </c:ext>
          </c:extLst>
        </c:ser>
        <c:axId val="260748416"/>
        <c:axId val="260750720"/>
      </c:radarChart>
      <c:catAx>
        <c:axId val="2607484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60750720"/>
        <c:crosses val="autoZero"/>
        <c:auto val="1"/>
        <c:lblAlgn val="ctr"/>
        <c:lblOffset val="100"/>
      </c:catAx>
      <c:valAx>
        <c:axId val="2607507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60748416"/>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执行异议受理案件数量图表</a:t>
            </a:r>
          </a:p>
        </c:rich>
      </c:tx>
      <c:spPr>
        <a:noFill/>
        <a:ln>
          <a:noFill/>
        </a:ln>
        <a:effectLst/>
      </c:spPr>
    </c:title>
    <c:plotArea>
      <c:layout/>
      <c:barChart>
        <c:barDir val="col"/>
        <c:grouping val="clustered"/>
        <c:ser>
          <c:idx val="0"/>
          <c:order val="0"/>
          <c:tx>
            <c:strRef>
              <c:f>Sheet1!$B$1</c:f>
              <c:strCache>
                <c:ptCount val="1"/>
                <c:pt idx="0">
                  <c:v>执行异议之诉案件</c:v>
                </c:pt>
              </c:strCache>
            </c:strRef>
          </c:tx>
          <c:spPr>
            <a:solidFill>
              <a:schemeClr val="accent1"/>
            </a:solidFill>
            <a:ln>
              <a:noFill/>
            </a:ln>
            <a:effectLst/>
          </c:spPr>
          <c:cat>
            <c:strRef>
              <c:f>Sheet1!$A$2:$A$4</c:f>
              <c:strCache>
                <c:ptCount val="3"/>
                <c:pt idx="0">
                  <c:v>2017年</c:v>
                </c:pt>
                <c:pt idx="1">
                  <c:v>2018年</c:v>
                </c:pt>
                <c:pt idx="2">
                  <c:v>2019年</c:v>
                </c:pt>
              </c:strCache>
            </c:strRef>
          </c:cat>
          <c:val>
            <c:numRef>
              <c:f>Sheet1!$B$2:$B$4</c:f>
              <c:numCache>
                <c:formatCode>General</c:formatCode>
                <c:ptCount val="3"/>
                <c:pt idx="0">
                  <c:v>365</c:v>
                </c:pt>
                <c:pt idx="1">
                  <c:v>502</c:v>
                </c:pt>
                <c:pt idx="2">
                  <c:v>799</c:v>
                </c:pt>
              </c:numCache>
            </c:numRef>
          </c:val>
          <c:extLst xmlns:c16r2="http://schemas.microsoft.com/office/drawing/2015/06/chart">
            <c:ext xmlns:c16="http://schemas.microsoft.com/office/drawing/2014/chart" uri="{C3380CC4-5D6E-409C-BE32-E72D297353CC}">
              <c16:uniqueId val="{00000000-28B5-464A-8770-47339010E4C5}"/>
            </c:ext>
          </c:extLst>
        </c:ser>
        <c:ser>
          <c:idx val="1"/>
          <c:order val="1"/>
          <c:tx>
            <c:strRef>
              <c:f>Sheet1!$C$1</c:f>
              <c:strCache>
                <c:ptCount val="1"/>
                <c:pt idx="0">
                  <c:v>执行审查程序实体异议案件</c:v>
                </c:pt>
              </c:strCache>
            </c:strRef>
          </c:tx>
          <c:spPr>
            <a:solidFill>
              <a:schemeClr val="accent2"/>
            </a:solidFill>
            <a:ln>
              <a:noFill/>
            </a:ln>
            <a:effectLst/>
          </c:spPr>
          <c:cat>
            <c:strRef>
              <c:f>Sheet1!$A$2:$A$4</c:f>
              <c:strCache>
                <c:ptCount val="3"/>
                <c:pt idx="0">
                  <c:v>2017年</c:v>
                </c:pt>
                <c:pt idx="1">
                  <c:v>2018年</c:v>
                </c:pt>
                <c:pt idx="2">
                  <c:v>2019年</c:v>
                </c:pt>
              </c:strCache>
            </c:strRef>
          </c:cat>
          <c:val>
            <c:numRef>
              <c:f>Sheet1!$C$2:$C$4</c:f>
              <c:numCache>
                <c:formatCode>General</c:formatCode>
                <c:ptCount val="3"/>
                <c:pt idx="0">
                  <c:v>501</c:v>
                </c:pt>
                <c:pt idx="1">
                  <c:v>805</c:v>
                </c:pt>
                <c:pt idx="2">
                  <c:v>1038</c:v>
                </c:pt>
              </c:numCache>
            </c:numRef>
          </c:val>
          <c:extLst xmlns:c16r2="http://schemas.microsoft.com/office/drawing/2015/06/chart">
            <c:ext xmlns:c16="http://schemas.microsoft.com/office/drawing/2014/chart" uri="{C3380CC4-5D6E-409C-BE32-E72D297353CC}">
              <c16:uniqueId val="{00000001-28B5-464A-8770-47339010E4C5}"/>
            </c:ext>
          </c:extLst>
        </c:ser>
        <c:axId val="278991616"/>
        <c:axId val="278993536"/>
      </c:barChart>
      <c:lineChart>
        <c:grouping val="standard"/>
        <c:ser>
          <c:idx val="2"/>
          <c:order val="2"/>
          <c:tx>
            <c:strRef>
              <c:f>Sheet1!$D$1</c:f>
              <c:strCache>
                <c:ptCount val="1"/>
                <c:pt idx="0">
                  <c:v>执行异议之诉收结比</c:v>
                </c:pt>
              </c:strCache>
            </c:strRef>
          </c:tx>
          <c:spPr>
            <a:ln w="28575" cap="rnd">
              <a:solidFill>
                <a:schemeClr val="accent3"/>
              </a:solidFill>
              <a:round/>
            </a:ln>
            <a:effectLst/>
          </c:spPr>
          <c:marker>
            <c:symbol val="none"/>
          </c:marker>
          <c:cat>
            <c:strRef>
              <c:f>Sheet1!$A$2:$A$4</c:f>
              <c:strCache>
                <c:ptCount val="3"/>
                <c:pt idx="0">
                  <c:v>2017年</c:v>
                </c:pt>
                <c:pt idx="1">
                  <c:v>2018年</c:v>
                </c:pt>
                <c:pt idx="2">
                  <c:v>2019年</c:v>
                </c:pt>
              </c:strCache>
            </c:strRef>
          </c:cat>
          <c:val>
            <c:numRef>
              <c:f>Sheet1!$D$2:$D$4</c:f>
              <c:numCache>
                <c:formatCode>0%</c:formatCode>
                <c:ptCount val="3"/>
                <c:pt idx="0">
                  <c:v>0.95000000000000062</c:v>
                </c:pt>
                <c:pt idx="1">
                  <c:v>0.93</c:v>
                </c:pt>
                <c:pt idx="2">
                  <c:v>0.96000000000000063</c:v>
                </c:pt>
              </c:numCache>
            </c:numRef>
          </c:val>
          <c:extLst xmlns:c16r2="http://schemas.microsoft.com/office/drawing/2015/06/chart">
            <c:ext xmlns:c16="http://schemas.microsoft.com/office/drawing/2014/chart" uri="{C3380CC4-5D6E-409C-BE32-E72D297353CC}">
              <c16:uniqueId val="{00000000-015F-4149-A14C-1ADAB0058B93}"/>
            </c:ext>
          </c:extLst>
        </c:ser>
        <c:ser>
          <c:idx val="3"/>
          <c:order val="3"/>
          <c:tx>
            <c:strRef>
              <c:f>Sheet1!$E$1</c:f>
              <c:strCache>
                <c:ptCount val="1"/>
                <c:pt idx="0">
                  <c:v>执行审查实体异议收结比</c:v>
                </c:pt>
              </c:strCache>
            </c:strRef>
          </c:tx>
          <c:spPr>
            <a:ln w="28575" cap="rnd">
              <a:solidFill>
                <a:schemeClr val="accent4"/>
              </a:solidFill>
              <a:round/>
            </a:ln>
            <a:effectLst/>
          </c:spPr>
          <c:marker>
            <c:symbol val="none"/>
          </c:marker>
          <c:cat>
            <c:strRef>
              <c:f>Sheet1!$A$2:$A$4</c:f>
              <c:strCache>
                <c:ptCount val="3"/>
                <c:pt idx="0">
                  <c:v>2017年</c:v>
                </c:pt>
                <c:pt idx="1">
                  <c:v>2018年</c:v>
                </c:pt>
                <c:pt idx="2">
                  <c:v>2019年</c:v>
                </c:pt>
              </c:strCache>
            </c:strRef>
          </c:cat>
          <c:val>
            <c:numRef>
              <c:f>Sheet1!$E$2:$E$4</c:f>
              <c:numCache>
                <c:formatCode>0%</c:formatCode>
                <c:ptCount val="3"/>
                <c:pt idx="0">
                  <c:v>1</c:v>
                </c:pt>
                <c:pt idx="1">
                  <c:v>1</c:v>
                </c:pt>
                <c:pt idx="2">
                  <c:v>1</c:v>
                </c:pt>
              </c:numCache>
            </c:numRef>
          </c:val>
          <c:extLst xmlns:c16r2="http://schemas.microsoft.com/office/drawing/2015/06/chart">
            <c:ext xmlns:c16="http://schemas.microsoft.com/office/drawing/2014/chart" uri="{C3380CC4-5D6E-409C-BE32-E72D297353CC}">
              <c16:uniqueId val="{00000001-015F-4149-A14C-1ADAB0058B93}"/>
            </c:ext>
          </c:extLst>
        </c:ser>
        <c:marker val="1"/>
        <c:axId val="279812352"/>
        <c:axId val="279810432"/>
      </c:lineChart>
      <c:catAx>
        <c:axId val="27899161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78993536"/>
        <c:crosses val="autoZero"/>
        <c:auto val="1"/>
        <c:lblAlgn val="ctr"/>
        <c:lblOffset val="100"/>
      </c:catAx>
      <c:valAx>
        <c:axId val="2789935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78991616"/>
        <c:crosses val="autoZero"/>
        <c:crossBetween val="between"/>
      </c:valAx>
      <c:valAx>
        <c:axId val="279810432"/>
        <c:scaling>
          <c:orientation val="minMax"/>
        </c:scaling>
        <c:axPos val="r"/>
        <c:numFmt formatCode="0%"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79812352"/>
        <c:crosses val="max"/>
        <c:crossBetween val="between"/>
      </c:valAx>
      <c:catAx>
        <c:axId val="279812352"/>
        <c:scaling>
          <c:orientation val="minMax"/>
        </c:scaling>
        <c:delete val="1"/>
        <c:axPos val="b"/>
        <c:numFmt formatCode="General" sourceLinked="1"/>
        <c:tickLblPos val="none"/>
        <c:crossAx val="279810432"/>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审判周期图表</a:t>
            </a:r>
            <a:endParaRPr lang="en-US" altLang="zh-CN"/>
          </a:p>
        </c:rich>
      </c:tx>
      <c:spPr>
        <a:noFill/>
        <a:ln>
          <a:noFill/>
        </a:ln>
        <a:effectLst/>
      </c:spPr>
    </c:title>
    <c:plotArea>
      <c:layout/>
      <c:barChart>
        <c:barDir val="bar"/>
        <c:grouping val="clustered"/>
        <c:ser>
          <c:idx val="0"/>
          <c:order val="0"/>
          <c:tx>
            <c:strRef>
              <c:f>Sheet1!$B$1</c:f>
              <c:strCache>
                <c:ptCount val="1"/>
                <c:pt idx="0">
                  <c:v>中院审判周期</c:v>
                </c:pt>
              </c:strCache>
            </c:strRef>
          </c:tx>
          <c:spPr>
            <a:solidFill>
              <a:schemeClr val="accent1"/>
            </a:solidFill>
            <a:ln>
              <a:noFill/>
            </a:ln>
            <a:effectLst/>
          </c:spPr>
          <c:cat>
            <c:strRef>
              <c:f>Sheet1!$A$2:$A$3</c:f>
              <c:strCache>
                <c:ptCount val="2"/>
                <c:pt idx="0">
                  <c:v>执行异议之诉</c:v>
                </c:pt>
                <c:pt idx="1">
                  <c:v>传统民商事案件</c:v>
                </c:pt>
              </c:strCache>
            </c:strRef>
          </c:cat>
          <c:val>
            <c:numRef>
              <c:f>Sheet1!$B$2:$B$3</c:f>
              <c:numCache>
                <c:formatCode>General</c:formatCode>
                <c:ptCount val="2"/>
                <c:pt idx="0">
                  <c:v>210</c:v>
                </c:pt>
                <c:pt idx="1">
                  <c:v>91</c:v>
                </c:pt>
              </c:numCache>
            </c:numRef>
          </c:val>
          <c:extLst xmlns:c16r2="http://schemas.microsoft.com/office/drawing/2015/06/chart">
            <c:ext xmlns:c16="http://schemas.microsoft.com/office/drawing/2014/chart" uri="{C3380CC4-5D6E-409C-BE32-E72D297353CC}">
              <c16:uniqueId val="{00000000-B7A1-4A6B-B9E7-8F7223340018}"/>
            </c:ext>
          </c:extLst>
        </c:ser>
        <c:ser>
          <c:idx val="1"/>
          <c:order val="1"/>
          <c:tx>
            <c:strRef>
              <c:f>Sheet1!$C$1</c:f>
              <c:strCache>
                <c:ptCount val="1"/>
                <c:pt idx="0">
                  <c:v>基层法院审判周期</c:v>
                </c:pt>
              </c:strCache>
            </c:strRef>
          </c:tx>
          <c:spPr>
            <a:solidFill>
              <a:schemeClr val="accent2"/>
            </a:solidFill>
            <a:ln>
              <a:noFill/>
            </a:ln>
            <a:effectLst/>
          </c:spPr>
          <c:cat>
            <c:strRef>
              <c:f>Sheet1!$A$2:$A$3</c:f>
              <c:strCache>
                <c:ptCount val="2"/>
                <c:pt idx="0">
                  <c:v>执行异议之诉</c:v>
                </c:pt>
                <c:pt idx="1">
                  <c:v>传统民商事案件</c:v>
                </c:pt>
              </c:strCache>
            </c:strRef>
          </c:cat>
          <c:val>
            <c:numRef>
              <c:f>Sheet1!$C$2:$C$3</c:f>
              <c:numCache>
                <c:formatCode>General</c:formatCode>
                <c:ptCount val="2"/>
                <c:pt idx="0">
                  <c:v>204</c:v>
                </c:pt>
                <c:pt idx="1">
                  <c:v>151</c:v>
                </c:pt>
              </c:numCache>
            </c:numRef>
          </c:val>
          <c:extLst xmlns:c16r2="http://schemas.microsoft.com/office/drawing/2015/06/chart">
            <c:ext xmlns:c16="http://schemas.microsoft.com/office/drawing/2014/chart" uri="{C3380CC4-5D6E-409C-BE32-E72D297353CC}">
              <c16:uniqueId val="{00000001-B7A1-4A6B-B9E7-8F7223340018}"/>
            </c:ext>
          </c:extLst>
        </c:ser>
        <c:ser>
          <c:idx val="2"/>
          <c:order val="2"/>
          <c:tx>
            <c:strRef>
              <c:f>Sheet1!$D$1</c:f>
              <c:strCache>
                <c:ptCount val="1"/>
                <c:pt idx="0">
                  <c:v>平均审理周期</c:v>
                </c:pt>
              </c:strCache>
            </c:strRef>
          </c:tx>
          <c:spPr>
            <a:solidFill>
              <a:schemeClr val="accent3"/>
            </a:solidFill>
            <a:ln>
              <a:noFill/>
            </a:ln>
            <a:effectLst/>
          </c:spPr>
          <c:cat>
            <c:strRef>
              <c:f>Sheet1!$A$2:$A$3</c:f>
              <c:strCache>
                <c:ptCount val="2"/>
                <c:pt idx="0">
                  <c:v>执行异议之诉</c:v>
                </c:pt>
                <c:pt idx="1">
                  <c:v>传统民商事案件</c:v>
                </c:pt>
              </c:strCache>
            </c:strRef>
          </c:cat>
          <c:val>
            <c:numRef>
              <c:f>Sheet1!$D$2:$D$3</c:f>
              <c:numCache>
                <c:formatCode>General</c:formatCode>
                <c:ptCount val="2"/>
                <c:pt idx="0">
                  <c:v>207</c:v>
                </c:pt>
                <c:pt idx="1">
                  <c:v>121</c:v>
                </c:pt>
              </c:numCache>
            </c:numRef>
          </c:val>
          <c:extLst xmlns:c16r2="http://schemas.microsoft.com/office/drawing/2015/06/chart">
            <c:ext xmlns:c16="http://schemas.microsoft.com/office/drawing/2014/chart" uri="{C3380CC4-5D6E-409C-BE32-E72D297353CC}">
              <c16:uniqueId val="{00000003-B7A1-4A6B-B9E7-8F7223340018}"/>
            </c:ext>
          </c:extLst>
        </c:ser>
        <c:gapWidth val="182"/>
        <c:axId val="386383232"/>
        <c:axId val="388388352"/>
      </c:barChart>
      <c:catAx>
        <c:axId val="38638323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88388352"/>
        <c:crosses val="autoZero"/>
        <c:auto val="1"/>
        <c:lblAlgn val="ctr"/>
        <c:lblOffset val="100"/>
      </c:catAx>
      <c:valAx>
        <c:axId val="388388352"/>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863832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Sheet1!$B$1</c:f>
              <c:strCache>
                <c:ptCount val="1"/>
                <c:pt idx="0">
                  <c:v>诉讼标的分布图</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7ADC-4AD4-84AC-9F15F7EB92AD}"/>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7ADC-4AD4-84AC-9F15F7EB92AD}"/>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7ADC-4AD4-84AC-9F15F7EB92AD}"/>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7ADC-4AD4-84AC-9F15F7EB92AD}"/>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7ADC-4AD4-84AC-9F15F7EB92AD}"/>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7ADC-4AD4-84AC-9F15F7EB92AD}"/>
              </c:ext>
            </c:extLst>
          </c:dPt>
          <c:dPt>
            <c:idx val="6"/>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7ADC-4AD4-84AC-9F15F7EB92AD}"/>
              </c:ext>
            </c:extLst>
          </c:dPt>
          <c:dPt>
            <c:idx val="7"/>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7ADC-4AD4-84AC-9F15F7EB92AD}"/>
              </c:ext>
            </c:extLst>
          </c:dPt>
          <c:dPt>
            <c:idx val="8"/>
            <c:spPr>
              <a:solidFill>
                <a:schemeClr val="accent3">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7ADC-4AD4-84AC-9F15F7EB92AD}"/>
              </c:ext>
            </c:extLst>
          </c:dPt>
          <c:cat>
            <c:strRef>
              <c:f>Sheet1!$A$2:$A$10</c:f>
              <c:strCache>
                <c:ptCount val="9"/>
                <c:pt idx="0">
                  <c:v>房屋、土地等不动产</c:v>
                </c:pt>
                <c:pt idx="1">
                  <c:v>车辆</c:v>
                </c:pt>
                <c:pt idx="2">
                  <c:v>机器设备</c:v>
                </c:pt>
                <c:pt idx="3">
                  <c:v>银行账户</c:v>
                </c:pt>
                <c:pt idx="4">
                  <c:v>股权</c:v>
                </c:pt>
                <c:pt idx="5">
                  <c:v>票据、仓单</c:v>
                </c:pt>
                <c:pt idx="6">
                  <c:v>优先权</c:v>
                </c:pt>
                <c:pt idx="7">
                  <c:v>租赁权</c:v>
                </c:pt>
                <c:pt idx="8">
                  <c:v>其他</c:v>
                </c:pt>
              </c:strCache>
            </c:strRef>
          </c:cat>
          <c:val>
            <c:numRef>
              <c:f>Sheet1!$B$2:$B$10</c:f>
              <c:numCache>
                <c:formatCode>General</c:formatCode>
                <c:ptCount val="9"/>
                <c:pt idx="0">
                  <c:v>5.2</c:v>
                </c:pt>
                <c:pt idx="1">
                  <c:v>0.8</c:v>
                </c:pt>
                <c:pt idx="2">
                  <c:v>0.60000000000000064</c:v>
                </c:pt>
                <c:pt idx="3">
                  <c:v>0.8</c:v>
                </c:pt>
                <c:pt idx="4">
                  <c:v>0.4</c:v>
                </c:pt>
                <c:pt idx="5">
                  <c:v>0.5</c:v>
                </c:pt>
                <c:pt idx="6">
                  <c:v>0.4</c:v>
                </c:pt>
                <c:pt idx="7">
                  <c:v>1.2</c:v>
                </c:pt>
                <c:pt idx="8">
                  <c:v>0.2</c:v>
                </c:pt>
              </c:numCache>
            </c:numRef>
          </c:val>
          <c:extLst xmlns:c16r2="http://schemas.microsoft.com/office/drawing/2015/06/chart">
            <c:ext xmlns:c16="http://schemas.microsoft.com/office/drawing/2014/chart" uri="{C3380CC4-5D6E-409C-BE32-E72D297353CC}">
              <c16:uniqueId val="{00000000-128C-4EA1-B694-5E6972488CD1}"/>
            </c:ext>
          </c:extLst>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zh-CN" altLang="en-US"/>
              <a:t>执行异议之诉类型图表</a:t>
            </a:r>
            <a:endParaRPr lang="zh-CN"/>
          </a:p>
        </c:rich>
      </c:tx>
      <c:layout>
        <c:manualLayout>
          <c:xMode val="edge"/>
          <c:yMode val="edge"/>
          <c:x val="0.24467387730379817"/>
          <c:y val="9.1638029782360533E-3"/>
        </c:manualLayout>
      </c:layout>
      <c:spPr>
        <a:noFill/>
        <a:ln>
          <a:noFill/>
        </a:ln>
        <a:effectLst/>
      </c:spPr>
    </c:title>
    <c:view3D>
      <c:perspective val="30"/>
    </c:view3D>
    <c:floor>
      <c:spPr>
        <a:pattFill prst="ltDnDiag">
          <a:fgClr>
            <a:schemeClr val="dk1">
              <a:lumMod val="15000"/>
              <a:lumOff val="85000"/>
            </a:schemeClr>
          </a:fgClr>
          <a:bgClr>
            <a:schemeClr val="lt1"/>
          </a:bgClr>
        </a:pattFill>
        <a:ln>
          <a:noFill/>
        </a:ln>
        <a:effectLst/>
        <a:sp3d/>
      </c:spPr>
    </c:floor>
    <c:sideWall>
      <c:spPr>
        <a:pattFill prst="ltDnDiag">
          <a:fgClr>
            <a:schemeClr val="dk1">
              <a:lumMod val="15000"/>
              <a:lumOff val="85000"/>
            </a:schemeClr>
          </a:fgClr>
          <a:bgClr>
            <a:schemeClr val="lt1"/>
          </a:bgClr>
        </a:pattFill>
        <a:ln>
          <a:noFill/>
        </a:ln>
        <a:effectLst/>
        <a:sp3d/>
      </c:spPr>
    </c:sideWall>
    <c:backWall>
      <c:spPr>
        <a:pattFill prst="ltDnDiag">
          <a:fgClr>
            <a:schemeClr val="dk1">
              <a:lumMod val="15000"/>
              <a:lumOff val="85000"/>
            </a:schemeClr>
          </a:fgClr>
          <a:bgClr>
            <a:schemeClr val="lt1"/>
          </a:bgClr>
        </a:pattFill>
        <a:ln>
          <a:noFill/>
        </a:ln>
        <a:effectLst/>
        <a:sp3d/>
      </c:spPr>
    </c:backWall>
    <c:plotArea>
      <c:layout/>
      <c:line3DChart>
        <c:grouping val="standard"/>
        <c:ser>
          <c:idx val="0"/>
          <c:order val="0"/>
          <c:tx>
            <c:strRef>
              <c:f>Sheet1!$B$1</c:f>
              <c:strCache>
                <c:ptCount val="1"/>
                <c:pt idx="0">
                  <c:v>案外人异议之诉</c:v>
                </c:pt>
              </c:strCache>
            </c:strRef>
          </c:tx>
          <c:spPr>
            <a:solidFill>
              <a:schemeClr val="accent1"/>
            </a:solidFill>
            <a:ln>
              <a:noFill/>
            </a:ln>
            <a:effectLst/>
            <a:sp3d/>
          </c:spPr>
          <c:dLbls>
            <c:delete val="1"/>
          </c:dLbls>
          <c:cat>
            <c:strRef>
              <c:f>Sheet1!$A$2:$A$4</c:f>
              <c:strCache>
                <c:ptCount val="3"/>
                <c:pt idx="0">
                  <c:v>2017年</c:v>
                </c:pt>
                <c:pt idx="1">
                  <c:v>2018年</c:v>
                </c:pt>
                <c:pt idx="2">
                  <c:v>2019年</c:v>
                </c:pt>
              </c:strCache>
            </c:strRef>
          </c:cat>
          <c:val>
            <c:numRef>
              <c:f>Sheet1!$B$2:$B$4</c:f>
              <c:numCache>
                <c:formatCode>General</c:formatCode>
                <c:ptCount val="3"/>
                <c:pt idx="0">
                  <c:v>49</c:v>
                </c:pt>
                <c:pt idx="1">
                  <c:v>51</c:v>
                </c:pt>
                <c:pt idx="2">
                  <c:v>67</c:v>
                </c:pt>
              </c:numCache>
            </c:numRef>
          </c:val>
          <c:extLst xmlns:c16r2="http://schemas.microsoft.com/office/drawing/2015/06/chart">
            <c:ext xmlns:c16="http://schemas.microsoft.com/office/drawing/2014/chart" uri="{C3380CC4-5D6E-409C-BE32-E72D297353CC}">
              <c16:uniqueId val="{00000000-3A41-494F-8D17-E8E34C15F451}"/>
            </c:ext>
          </c:extLst>
        </c:ser>
        <c:ser>
          <c:idx val="1"/>
          <c:order val="1"/>
          <c:tx>
            <c:strRef>
              <c:f>Sheet1!$C$1</c:f>
              <c:strCache>
                <c:ptCount val="1"/>
                <c:pt idx="0">
                  <c:v>申请执行人异议之诉</c:v>
                </c:pt>
              </c:strCache>
            </c:strRef>
          </c:tx>
          <c:spPr>
            <a:solidFill>
              <a:schemeClr val="accent2"/>
            </a:solidFill>
            <a:ln>
              <a:noFill/>
            </a:ln>
            <a:effectLst/>
            <a:sp3d/>
          </c:spPr>
          <c:dLbls>
            <c:delete val="1"/>
          </c:dLbls>
          <c:cat>
            <c:strRef>
              <c:f>Sheet1!$A$2:$A$4</c:f>
              <c:strCache>
                <c:ptCount val="3"/>
                <c:pt idx="0">
                  <c:v>2017年</c:v>
                </c:pt>
                <c:pt idx="1">
                  <c:v>2018年</c:v>
                </c:pt>
                <c:pt idx="2">
                  <c:v>2019年</c:v>
                </c:pt>
              </c:strCache>
            </c:strRef>
          </c:cat>
          <c:val>
            <c:numRef>
              <c:f>Sheet1!$C$2:$C$4</c:f>
              <c:numCache>
                <c:formatCode>General</c:formatCode>
                <c:ptCount val="3"/>
                <c:pt idx="0">
                  <c:v>47</c:v>
                </c:pt>
                <c:pt idx="1">
                  <c:v>43</c:v>
                </c:pt>
                <c:pt idx="2">
                  <c:v>31</c:v>
                </c:pt>
              </c:numCache>
            </c:numRef>
          </c:val>
          <c:extLst xmlns:c16r2="http://schemas.microsoft.com/office/drawing/2015/06/chart">
            <c:ext xmlns:c16="http://schemas.microsoft.com/office/drawing/2014/chart" uri="{C3380CC4-5D6E-409C-BE32-E72D297353CC}">
              <c16:uniqueId val="{00000001-3A41-494F-8D17-E8E34C15F451}"/>
            </c:ext>
          </c:extLst>
        </c:ser>
        <c:ser>
          <c:idx val="2"/>
          <c:order val="2"/>
          <c:tx>
            <c:strRef>
              <c:f>Sheet1!$D$1</c:f>
              <c:strCache>
                <c:ptCount val="1"/>
                <c:pt idx="0">
                  <c:v>追加被执行人异议之诉</c:v>
                </c:pt>
              </c:strCache>
            </c:strRef>
          </c:tx>
          <c:spPr>
            <a:solidFill>
              <a:schemeClr val="accent3"/>
            </a:solidFill>
            <a:ln>
              <a:noFill/>
            </a:ln>
            <a:effectLst/>
            <a:sp3d/>
          </c:spPr>
          <c:dLbls>
            <c:delete val="1"/>
          </c:dLbls>
          <c:cat>
            <c:strRef>
              <c:f>Sheet1!$A$2:$A$4</c:f>
              <c:strCache>
                <c:ptCount val="3"/>
                <c:pt idx="0">
                  <c:v>2017年</c:v>
                </c:pt>
                <c:pt idx="1">
                  <c:v>2018年</c:v>
                </c:pt>
                <c:pt idx="2">
                  <c:v>2019年</c:v>
                </c:pt>
              </c:strCache>
            </c:strRef>
          </c:cat>
          <c:val>
            <c:numRef>
              <c:f>Sheet1!$D$2:$D$4</c:f>
              <c:numCache>
                <c:formatCode>General</c:formatCode>
                <c:ptCount val="3"/>
                <c:pt idx="0">
                  <c:v>0</c:v>
                </c:pt>
                <c:pt idx="1">
                  <c:v>1.2</c:v>
                </c:pt>
                <c:pt idx="2">
                  <c:v>1.8</c:v>
                </c:pt>
              </c:numCache>
            </c:numRef>
          </c:val>
          <c:extLst xmlns:c16r2="http://schemas.microsoft.com/office/drawing/2015/06/chart">
            <c:ext xmlns:c16="http://schemas.microsoft.com/office/drawing/2014/chart" uri="{C3380CC4-5D6E-409C-BE32-E72D297353CC}">
              <c16:uniqueId val="{00000002-3A41-494F-8D17-E8E34C15F451}"/>
            </c:ext>
          </c:extLst>
        </c:ser>
        <c:ser>
          <c:idx val="3"/>
          <c:order val="3"/>
          <c:tx>
            <c:strRef>
              <c:f>Sheet1!$E$1</c:f>
              <c:strCache>
                <c:ptCount val="1"/>
                <c:pt idx="0">
                  <c:v>执行分配方案异议之诉</c:v>
                </c:pt>
              </c:strCache>
            </c:strRef>
          </c:tx>
          <c:spPr>
            <a:solidFill>
              <a:schemeClr val="accent4"/>
            </a:solidFill>
            <a:ln>
              <a:noFill/>
            </a:ln>
            <a:effectLst/>
            <a:sp3d/>
          </c:spPr>
          <c:dLbls>
            <c:delete val="1"/>
          </c:dLbls>
          <c:cat>
            <c:strRef>
              <c:f>Sheet1!$A$2:$A$4</c:f>
              <c:strCache>
                <c:ptCount val="3"/>
                <c:pt idx="0">
                  <c:v>2017年</c:v>
                </c:pt>
                <c:pt idx="1">
                  <c:v>2018年</c:v>
                </c:pt>
                <c:pt idx="2">
                  <c:v>2019年</c:v>
                </c:pt>
              </c:strCache>
            </c:strRef>
          </c:cat>
          <c:val>
            <c:numRef>
              <c:f>Sheet1!$E$2:$E$4</c:f>
              <c:numCache>
                <c:formatCode>General</c:formatCode>
                <c:ptCount val="3"/>
                <c:pt idx="0">
                  <c:v>4</c:v>
                </c:pt>
                <c:pt idx="1">
                  <c:v>4.8</c:v>
                </c:pt>
                <c:pt idx="2">
                  <c:v>0.2</c:v>
                </c:pt>
              </c:numCache>
            </c:numRef>
          </c:val>
          <c:extLst xmlns:c16r2="http://schemas.microsoft.com/office/drawing/2015/06/chart">
            <c:ext xmlns:c16="http://schemas.microsoft.com/office/drawing/2014/chart" uri="{C3380CC4-5D6E-409C-BE32-E72D297353CC}">
              <c16:uniqueId val="{00000003-3A41-494F-8D17-E8E34C15F451}"/>
            </c:ext>
          </c:extLst>
        </c:ser>
        <c:dLbls>
          <c:showVal val="1"/>
        </c:dLbls>
        <c:axId val="485599872"/>
        <c:axId val="485605760"/>
        <c:axId val="263172544"/>
      </c:line3DChart>
      <c:catAx>
        <c:axId val="485599872"/>
        <c:scaling>
          <c:orientation val="minMax"/>
        </c:scaling>
        <c:axPos val="b"/>
        <c:majorGridlines>
          <c:spPr>
            <a:ln w="9525" cap="flat" cmpd="sng" algn="ctr">
              <a:solidFill>
                <a:schemeClr val="dk1">
                  <a:lumMod val="15000"/>
                  <a:lumOff val="85000"/>
                </a:schemeClr>
              </a:solidFill>
              <a:round/>
            </a:ln>
            <a:effectLst/>
          </c:spPr>
        </c:majorGridlines>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zh-CN"/>
          </a:p>
        </c:txPr>
        <c:crossAx val="485605760"/>
        <c:crosses val="autoZero"/>
        <c:auto val="1"/>
        <c:lblAlgn val="ctr"/>
        <c:lblOffset val="100"/>
      </c:catAx>
      <c:valAx>
        <c:axId val="485605760"/>
        <c:scaling>
          <c:orientation val="minMax"/>
        </c:scaling>
        <c:axPos val="l"/>
        <c:majorGridlines>
          <c:spPr>
            <a:ln w="9525" cap="flat" cmpd="sng" algn="ctr">
              <a:solidFill>
                <a:schemeClr val="dk1">
                  <a:lumMod val="15000"/>
                  <a:lumOff val="85000"/>
                </a:schemeClr>
              </a:solidFill>
              <a:round/>
            </a:ln>
            <a:effectLst/>
          </c:spPr>
        </c:majorGridlines>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crossAx val="485599872"/>
        <c:crosses val="autoZero"/>
        <c:crossBetween val="between"/>
      </c:valAx>
      <c:serAx>
        <c:axId val="263172544"/>
        <c:scaling>
          <c:orientation val="minMax"/>
        </c:scaling>
        <c:delete val="1"/>
        <c:axPos val="b"/>
        <c:tickLblPos val="none"/>
        <c:crossAx val="485605760"/>
        <c:crosses val="autoZero"/>
      </c:serAx>
      <c:spPr>
        <a:solidFill>
          <a:schemeClr val="lt1"/>
        </a:solid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zh-CN"/>
    </a:p>
  </c:txPr>
  <c:externalData r:id="rId2"/>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DD28D-DBAB-435F-86EC-7A07D926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48</Pages>
  <Words>3143</Words>
  <Characters>17920</Characters>
  <Application>Microsoft Office Word</Application>
  <DocSecurity>0</DocSecurity>
  <Lines>149</Lines>
  <Paragraphs>42</Paragraphs>
  <ScaleCrop>false</ScaleCrop>
  <Company>hp</Company>
  <LinksUpToDate>false</LinksUpToDate>
  <CharactersWithSpaces>21021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龙骞</dc:creator>
  <cp:lastModifiedBy>张坚</cp:lastModifiedBy>
  <cp:revision>26</cp:revision>
  <cp:lastPrinted>2020-03-30T07:57:00Z</cp:lastPrinted>
  <dcterms:created xsi:type="dcterms:W3CDTF">2020-03-31T03:16:00Z</dcterms:created>
  <dcterms:modified xsi:type="dcterms:W3CDTF">2020-04-01T02:43:00Z</dcterms:modified>
</cp:coreProperties>
</file>