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ind w:firstLine="640"/>
        <w:jc w:val="center"/>
        <w:rPr>
          <w:rFonts w:ascii="宋体" w:hAnsi="宋体" w:eastAsia="宋体"/>
          <w:sz w:val="44"/>
          <w:szCs w:val="44"/>
        </w:rPr>
      </w:pPr>
      <w:bookmarkStart w:id="0" w:name="_GoBack"/>
      <w:bookmarkEnd w:id="0"/>
    </w:p>
    <w:p>
      <w:pPr>
        <w:spacing w:line="360" w:lineRule="auto"/>
        <w:jc w:val="center"/>
        <w:rPr>
          <w:rFonts w:ascii="宋体" w:hAnsi="宋体" w:eastAsia="宋体"/>
          <w:w w:val="35"/>
          <w:sz w:val="44"/>
          <w:szCs w:val="44"/>
        </w:rPr>
      </w:pPr>
      <w:r>
        <w:rPr>
          <w:rFonts w:hint="eastAsia" w:ascii="方正小标宋简体" w:hAnsi="宋体" w:eastAsia="方正小标宋简体"/>
          <w:bCs/>
          <w:color w:val="FF0000"/>
          <w:w w:val="35"/>
          <w:sz w:val="170"/>
          <w:szCs w:val="170"/>
        </w:rPr>
        <w:t>中共青岛市黄岛区人民法院党组文件</w:t>
      </w:r>
    </w:p>
    <w:p>
      <w:pPr>
        <w:spacing w:line="560" w:lineRule="exact"/>
        <w:ind w:firstLine="640"/>
        <w:jc w:val="center"/>
        <w:rPr>
          <w:rFonts w:ascii="宋体" w:hAnsi="宋体" w:eastAsia="宋体"/>
          <w:sz w:val="44"/>
          <w:szCs w:val="44"/>
        </w:rPr>
      </w:pPr>
    </w:p>
    <w:p>
      <w:pPr>
        <w:jc w:val="center"/>
        <w:rPr>
          <w:rFonts w:ascii="仿宋" w:hAnsi="仿宋" w:eastAsia="仿宋"/>
          <w:sz w:val="32"/>
          <w:szCs w:val="32"/>
        </w:rPr>
      </w:pPr>
      <w:r>
        <w:rPr>
          <w:rFonts w:hint="eastAsia" w:ascii="仿宋" w:hAnsi="仿宋" w:eastAsia="仿宋"/>
          <w:sz w:val="32"/>
          <w:szCs w:val="32"/>
        </w:rPr>
        <w:t>青黄法组发〔2021〕</w:t>
      </w:r>
      <w:r>
        <w:rPr>
          <w:rFonts w:hint="eastAsia" w:ascii="仿宋" w:hAnsi="仿宋" w:eastAsia="仿宋"/>
          <w:sz w:val="32"/>
          <w:szCs w:val="32"/>
          <w:lang w:val="en-US" w:eastAsia="zh-CN"/>
        </w:rPr>
        <w:t>64</w:t>
      </w:r>
      <w:r>
        <w:rPr>
          <w:rFonts w:hint="eastAsia" w:ascii="仿宋" w:hAnsi="仿宋" w:eastAsia="仿宋"/>
          <w:sz w:val="32"/>
          <w:szCs w:val="32"/>
        </w:rPr>
        <w:t>号</w:t>
      </w:r>
    </w:p>
    <w:p>
      <w:pPr>
        <w:spacing w:line="560" w:lineRule="exact"/>
        <w:rPr>
          <w:rFonts w:ascii="宋体" w:hAnsi="宋体" w:eastAsia="宋体"/>
          <w:sz w:val="44"/>
          <w:szCs w:val="44"/>
          <w:u w:val="thick" w:color="FF0000"/>
        </w:rPr>
      </w:pPr>
      <w:r>
        <w:rPr>
          <w:rFonts w:ascii="仿宋_GB2312" w:hAnsi="Times New Roman" w:eastAsia="仿宋_GB2312" w:cs="宋体"/>
          <w:kern w:val="0"/>
          <w:sz w:val="32"/>
          <w:szCs w:val="32"/>
          <w:lang w:val="en-US" w:eastAsia="zh-CN" w:bidi="ar-SA"/>
        </w:rPr>
        <w:pict>
          <v:shape id="5-Point Star 4" o:spid="_x0000_s1026" type="#_x0000_t12" style="position:absolute;left:0;margin-left:238.05pt;margin-top:7.9pt;height:21pt;width:21pt;rotation:0f;z-index:251658240;" o:ole="f" fillcolor="#FF0000" filled="t" o:preferrelative="t" stroked="t" coordorigin="0,0" coordsize="21600,21600">
            <v:fill type="gradient" on="t" color2="fill darken(118)" focus="100%" focussize="0f,0f" focusposition="0f,0f" method="linear sigma" rotate="t"/>
            <v:stroke color="#FF0000" color2="#FFFFFF" miterlimit="2"/>
            <v:imagedata gain="65536f" blacklevel="0f" gamma="0"/>
            <o:lock v:ext="edit" position="f" selection="f" grouping="f" rotation="f" cropping="f" text="f" aspectratio="f"/>
          </v:shape>
        </w:pict>
      </w:r>
      <w:r>
        <w:rPr>
          <w:rFonts w:hint="eastAsia"/>
          <w:b/>
          <w:bCs/>
          <w:color w:val="FF0000"/>
          <w:kern w:val="18"/>
          <w:position w:val="14"/>
          <w:sz w:val="30"/>
          <w:szCs w:val="30"/>
          <w:u w:val="single"/>
        </w:rPr>
        <w:t xml:space="preserve">                               </w:t>
      </w:r>
      <w:r>
        <w:rPr>
          <w:rFonts w:hint="eastAsia"/>
          <w:b/>
          <w:bCs/>
          <w:color w:val="FF0000"/>
          <w:kern w:val="18"/>
          <w:position w:val="14"/>
          <w:sz w:val="30"/>
          <w:szCs w:val="30"/>
          <w:u w:val="single" w:color="FFFFFF"/>
        </w:rPr>
        <w:t xml:space="preserve">    </w:t>
      </w:r>
      <w:r>
        <w:rPr>
          <w:rFonts w:hint="eastAsia"/>
          <w:b/>
          <w:bCs/>
          <w:color w:val="FF0000"/>
          <w:kern w:val="18"/>
          <w:position w:val="14"/>
          <w:sz w:val="30"/>
          <w:szCs w:val="30"/>
          <w:u w:val="thick" w:color="FF0000"/>
        </w:rPr>
        <w:t xml:space="preserve">                             </w:t>
      </w:r>
    </w:p>
    <w:p>
      <w:pPr>
        <w:autoSpaceDE w:val="0"/>
        <w:autoSpaceDN w:val="0"/>
        <w:adjustRightInd w:val="0"/>
        <w:spacing w:line="560" w:lineRule="exact"/>
        <w:jc w:val="center"/>
        <w:rPr>
          <w:rFonts w:hint="eastAsia" w:ascii="华文中宋" w:hAnsi="华文中宋" w:eastAsia="华文中宋"/>
          <w:sz w:val="44"/>
          <w:szCs w:val="44"/>
        </w:rPr>
      </w:pPr>
    </w:p>
    <w:p>
      <w:pPr>
        <w:autoSpaceDE w:val="0"/>
        <w:autoSpaceDN w:val="0"/>
        <w:adjustRightInd w:val="0"/>
        <w:spacing w:line="560" w:lineRule="exact"/>
        <w:jc w:val="center"/>
        <w:rPr>
          <w:rFonts w:hint="eastAsia" w:ascii="方正小标宋_GBK" w:hAnsi="华文中宋" w:eastAsia="方正小标宋_GBK"/>
          <w:sz w:val="44"/>
          <w:szCs w:val="44"/>
        </w:rPr>
      </w:pPr>
      <w:r>
        <w:rPr>
          <w:rFonts w:hint="eastAsia" w:ascii="方正小标宋_GBK" w:hAnsi="华文中宋" w:eastAsia="方正小标宋_GBK"/>
          <w:sz w:val="44"/>
          <w:szCs w:val="44"/>
        </w:rPr>
        <w:t>青岛市黄岛区人民法院</w:t>
      </w:r>
    </w:p>
    <w:p>
      <w:pPr>
        <w:autoSpaceDE w:val="0"/>
        <w:autoSpaceDN w:val="0"/>
        <w:adjustRightInd w:val="0"/>
        <w:spacing w:line="560" w:lineRule="exact"/>
        <w:jc w:val="center"/>
        <w:rPr>
          <w:rFonts w:hint="eastAsia" w:ascii="方正小标宋_GBK" w:hAnsi="华文中宋" w:eastAsia="方正小标宋_GBK"/>
          <w:sz w:val="44"/>
          <w:szCs w:val="44"/>
        </w:rPr>
      </w:pPr>
      <w:r>
        <w:rPr>
          <w:rFonts w:hint="eastAsia" w:ascii="方正小标宋_GBK" w:hAnsi="华文中宋" w:eastAsia="方正小标宋_GBK"/>
          <w:sz w:val="44"/>
          <w:szCs w:val="44"/>
        </w:rPr>
        <w:t>特邀</w:t>
      </w:r>
      <w:r>
        <w:rPr>
          <w:rFonts w:hint="eastAsia" w:ascii="方正小标宋_GBK" w:hAnsi="华文中宋" w:eastAsia="方正小标宋_GBK"/>
          <w:sz w:val="44"/>
          <w:szCs w:val="44"/>
          <w:lang w:val="en-US" w:eastAsia="zh-CN"/>
        </w:rPr>
        <w:t>专家</w:t>
      </w:r>
      <w:r>
        <w:rPr>
          <w:rFonts w:hint="eastAsia" w:ascii="方正小标宋_GBK" w:hAnsi="华文中宋" w:eastAsia="方正小标宋_GBK"/>
          <w:sz w:val="44"/>
          <w:szCs w:val="44"/>
        </w:rPr>
        <w:t>调解员</w:t>
      </w:r>
      <w:r>
        <w:rPr>
          <w:rFonts w:hint="eastAsia" w:ascii="方正小标宋_GBK" w:hAnsi="华文中宋" w:eastAsia="方正小标宋_GBK"/>
          <w:sz w:val="44"/>
          <w:szCs w:val="44"/>
          <w:lang w:val="en-US" w:eastAsia="zh-CN"/>
        </w:rPr>
        <w:t>管理</w:t>
      </w:r>
      <w:r>
        <w:rPr>
          <w:rFonts w:hint="eastAsia" w:ascii="方正小标宋_GBK" w:hAnsi="华文中宋" w:eastAsia="方正小标宋_GBK"/>
          <w:sz w:val="44"/>
          <w:szCs w:val="44"/>
        </w:rPr>
        <w:t>办法</w:t>
      </w:r>
    </w:p>
    <w:p>
      <w:pPr>
        <w:spacing w:line="600" w:lineRule="exact"/>
        <w:jc w:val="center"/>
        <w:rPr>
          <w:rFonts w:hint="eastAsia" w:ascii="宋体" w:hAnsi="宋体"/>
          <w:sz w:val="28"/>
          <w:szCs w:val="28"/>
        </w:rPr>
      </w:pPr>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第一条 为进一步优化营商环境,充分发挥专家学者在案件调解中的专业化优势,按照《最高人民法院关于人民法院特邀调解的规定》、《最高人民法院关于进一步完善委派调解机制的指导意见》，制定本办法。</w:t>
      </w:r>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第二条 </w:t>
      </w:r>
      <w:r>
        <w:rPr>
          <w:rFonts w:hint="eastAsia" w:ascii="仿宋_GB2312" w:eastAsia="仿宋_GB2312"/>
          <w:color w:val="auto"/>
          <w:sz w:val="32"/>
          <w:szCs w:val="32"/>
          <w:lang w:val="en-US" w:eastAsia="zh-CN"/>
        </w:rPr>
        <w:t>特邀专家调解员从驻青岛西海岸新区高校的专家学者中选任，</w:t>
      </w:r>
      <w:r>
        <w:rPr>
          <w:rFonts w:hint="eastAsia" w:ascii="仿宋_GB2312" w:eastAsia="仿宋_GB2312"/>
          <w:color w:val="auto"/>
          <w:sz w:val="32"/>
          <w:szCs w:val="32"/>
        </w:rPr>
        <w:t>经黄岛区人民法院诉讼服务中心进行资格审查后，报院审判委员会研究决定，并向社会公示。</w:t>
      </w:r>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第三条</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特邀</w:t>
      </w:r>
      <w:r>
        <w:rPr>
          <w:rFonts w:hint="eastAsia" w:ascii="仿宋_GB2312" w:eastAsia="仿宋_GB2312"/>
          <w:color w:val="auto"/>
          <w:sz w:val="32"/>
          <w:szCs w:val="32"/>
          <w:lang w:val="en-US" w:eastAsia="zh-CN"/>
        </w:rPr>
        <w:t>专家</w:t>
      </w:r>
      <w:r>
        <w:rPr>
          <w:rFonts w:hint="eastAsia" w:ascii="仿宋_GB2312" w:eastAsia="仿宋_GB2312"/>
          <w:color w:val="auto"/>
          <w:sz w:val="32"/>
          <w:szCs w:val="32"/>
        </w:rPr>
        <w:t>调解员应当具备以下条件：</w:t>
      </w:r>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（一）拥护党的路线、方针、政策，具有较高的政治素养；</w:t>
      </w:r>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（二）品德良好，公道正派，敬业勤勉，有较好的社会信誉；</w:t>
      </w:r>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（三）恪守职业道德和职业纪律，工作过程中没有受过行政处罚和行业处分，未受过刑事处罚；</w:t>
      </w:r>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（四）具有丰富的法律知识、专业知识和调解经验，热爱调解工作，自愿接受人民法院委派或委托调解纠纷，能够为调解付出时间、精力；</w:t>
      </w:r>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（五）接受人民法院组织或认可的专业培训</w:t>
      </w:r>
      <w:r>
        <w:rPr>
          <w:rFonts w:hint="eastAsia" w:ascii="仿宋_GB2312" w:eastAsia="仿宋_GB2312"/>
          <w:color w:val="auto"/>
          <w:sz w:val="32"/>
          <w:szCs w:val="32"/>
          <w:lang w:eastAsia="zh-CN"/>
        </w:rPr>
        <w:t>。</w:t>
      </w:r>
      <w:r>
        <w:rPr>
          <w:rFonts w:hint="eastAsia" w:ascii="仿宋_GB2312" w:eastAsia="仿宋_GB2312"/>
          <w:color w:val="auto"/>
          <w:sz w:val="32"/>
          <w:szCs w:val="32"/>
        </w:rPr>
        <w:t xml:space="preserve"> </w:t>
      </w:r>
    </w:p>
    <w:p>
      <w:pPr>
        <w:spacing w:line="540" w:lineRule="exact"/>
        <w:ind w:firstLine="640" w:firstLineChars="200"/>
        <w:rPr>
          <w:rFonts w:hint="default" w:ascii="仿宋_GB2312" w:eastAsia="仿宋_GB2312"/>
          <w:color w:val="auto"/>
          <w:sz w:val="32"/>
          <w:szCs w:val="32"/>
          <w:lang w:val="en-US"/>
        </w:rPr>
      </w:pPr>
      <w:r>
        <w:rPr>
          <w:rFonts w:hint="eastAsia" w:ascii="仿宋_GB2312" w:eastAsia="仿宋_GB2312"/>
          <w:color w:val="auto"/>
          <w:sz w:val="32"/>
          <w:szCs w:val="32"/>
        </w:rPr>
        <w:t xml:space="preserve">第四条 </w:t>
      </w:r>
      <w:r>
        <w:rPr>
          <w:rFonts w:hint="eastAsia" w:ascii="仿宋_GB2312" w:eastAsia="仿宋_GB2312"/>
          <w:color w:val="auto"/>
          <w:sz w:val="32"/>
          <w:szCs w:val="32"/>
          <w:lang w:val="en-US" w:eastAsia="zh-CN"/>
        </w:rPr>
        <w:t>特邀专家调解员的工作运行及业绩考评按照《</w:t>
      </w:r>
      <w:r>
        <w:rPr>
          <w:rFonts w:hint="eastAsia" w:ascii="仿宋_GB2312" w:eastAsia="仿宋_GB2312"/>
          <w:color w:val="auto"/>
          <w:sz w:val="32"/>
          <w:szCs w:val="32"/>
        </w:rPr>
        <w:t>青岛市黄岛区人民法院委派（托）调解中心管理规定</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青黄法发〔2020〕7号</w:t>
      </w:r>
      <w:r>
        <w:rPr>
          <w:rFonts w:hint="eastAsia" w:ascii="仿宋_GB2312" w:eastAsia="仿宋_GB2312"/>
          <w:color w:val="auto"/>
          <w:sz w:val="32"/>
          <w:szCs w:val="32"/>
          <w:lang w:val="en-US" w:eastAsia="zh-CN"/>
        </w:rPr>
        <w:t>）执行。</w:t>
      </w:r>
    </w:p>
    <w:p>
      <w:pPr>
        <w:spacing w:line="540" w:lineRule="exact"/>
        <w:ind w:firstLine="640" w:firstLineChars="200"/>
        <w:rPr>
          <w:rFonts w:hint="default" w:ascii="仿宋_GB2312" w:eastAsia="仿宋_GB2312"/>
          <w:color w:val="auto"/>
          <w:sz w:val="32"/>
          <w:szCs w:val="32"/>
          <w:lang w:val="en-US"/>
        </w:rPr>
      </w:pPr>
      <w:r>
        <w:rPr>
          <w:rFonts w:hint="eastAsia" w:ascii="仿宋_GB2312" w:eastAsia="仿宋_GB2312"/>
          <w:color w:val="auto"/>
          <w:sz w:val="32"/>
          <w:szCs w:val="32"/>
        </w:rPr>
        <w:t>第五条 特邀</w:t>
      </w:r>
      <w:r>
        <w:rPr>
          <w:rFonts w:hint="eastAsia" w:ascii="仿宋_GB2312" w:eastAsia="仿宋_GB2312"/>
          <w:color w:val="auto"/>
          <w:sz w:val="32"/>
          <w:szCs w:val="32"/>
          <w:lang w:val="en-US" w:eastAsia="zh-CN"/>
        </w:rPr>
        <w:t>专家</w:t>
      </w:r>
      <w:r>
        <w:rPr>
          <w:rFonts w:hint="eastAsia" w:ascii="仿宋_GB2312" w:eastAsia="仿宋_GB2312"/>
          <w:color w:val="auto"/>
          <w:sz w:val="32"/>
          <w:szCs w:val="32"/>
        </w:rPr>
        <w:t>调解员</w:t>
      </w:r>
      <w:r>
        <w:rPr>
          <w:rFonts w:hint="eastAsia" w:ascii="仿宋_GB2312" w:eastAsia="仿宋_GB2312"/>
          <w:color w:val="auto"/>
          <w:sz w:val="32"/>
          <w:szCs w:val="32"/>
          <w:lang w:val="en-US" w:eastAsia="zh-CN"/>
        </w:rPr>
        <w:t>工作</w:t>
      </w:r>
      <w:r>
        <w:rPr>
          <w:rFonts w:hint="eastAsia" w:ascii="仿宋_GB2312" w:eastAsia="仿宋_GB2312"/>
          <w:color w:val="auto"/>
          <w:sz w:val="32"/>
          <w:szCs w:val="32"/>
        </w:rPr>
        <w:t>补贴</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计算与发放</w:t>
      </w:r>
      <w:r>
        <w:rPr>
          <w:rFonts w:hint="eastAsia" w:ascii="仿宋_GB2312" w:eastAsia="仿宋_GB2312"/>
          <w:color w:val="auto"/>
          <w:sz w:val="32"/>
          <w:szCs w:val="32"/>
          <w:lang w:val="en-US" w:eastAsia="zh-CN"/>
        </w:rPr>
        <w:t>按照《</w:t>
      </w:r>
      <w:r>
        <w:rPr>
          <w:rFonts w:hint="eastAsia" w:ascii="仿宋_GB2312" w:eastAsia="仿宋_GB2312"/>
          <w:color w:val="auto"/>
          <w:sz w:val="32"/>
          <w:szCs w:val="32"/>
        </w:rPr>
        <w:t>青岛市黄岛区人民法院特邀调解员补贴计算与发放办法</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青黄法发〔2021〕26号</w:t>
      </w:r>
      <w:r>
        <w:rPr>
          <w:rFonts w:hint="eastAsia" w:ascii="仿宋_GB2312" w:eastAsia="仿宋_GB2312"/>
          <w:color w:val="auto"/>
          <w:sz w:val="32"/>
          <w:szCs w:val="32"/>
          <w:lang w:val="en-US" w:eastAsia="zh-CN"/>
        </w:rPr>
        <w:t>）执行。</w:t>
      </w:r>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w:t>
      </w:r>
      <w:r>
        <w:rPr>
          <w:rFonts w:hint="eastAsia" w:ascii="仿宋_GB2312" w:eastAsia="仿宋_GB2312"/>
          <w:color w:val="auto"/>
          <w:sz w:val="32"/>
          <w:szCs w:val="32"/>
          <w:lang w:val="en-US" w:eastAsia="zh-CN"/>
        </w:rPr>
        <w:t>六</w:t>
      </w:r>
      <w:r>
        <w:rPr>
          <w:rFonts w:hint="eastAsia" w:ascii="仿宋_GB2312" w:eastAsia="仿宋_GB2312"/>
          <w:color w:val="auto"/>
          <w:sz w:val="32"/>
          <w:szCs w:val="32"/>
        </w:rPr>
        <w:t>条 本办法自公布之日起试行。</w:t>
      </w:r>
    </w:p>
    <w:p>
      <w:pPr>
        <w:spacing w:line="540" w:lineRule="exact"/>
        <w:ind w:firstLine="640" w:firstLineChars="200"/>
        <w:rPr>
          <w:rFonts w:hint="eastAsia" w:ascii="仿宋_GB2312" w:eastAsia="仿宋_GB2312"/>
          <w:sz w:val="32"/>
          <w:szCs w:val="32"/>
        </w:rPr>
      </w:pPr>
    </w:p>
    <w:p>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附:</w:t>
      </w:r>
      <w:r>
        <w:rPr>
          <w:rFonts w:hint="eastAsia" w:ascii="仿宋_GB2312" w:eastAsia="仿宋_GB2312"/>
          <w:color w:val="auto"/>
          <w:sz w:val="32"/>
          <w:szCs w:val="32"/>
        </w:rPr>
        <w:t>青岛市黄岛区人民法院</w:t>
      </w:r>
      <w:r>
        <w:rPr>
          <w:rFonts w:hint="eastAsia" w:ascii="仿宋_GB2312" w:eastAsia="仿宋_GB2312"/>
          <w:color w:val="auto"/>
          <w:sz w:val="32"/>
          <w:szCs w:val="32"/>
          <w:lang w:val="en-US" w:eastAsia="zh-CN"/>
        </w:rPr>
        <w:t>特邀</w:t>
      </w:r>
      <w:r>
        <w:rPr>
          <w:rFonts w:hint="eastAsia" w:ascii="仿宋_GB2312" w:eastAsia="仿宋_GB2312"/>
          <w:color w:val="auto"/>
          <w:sz w:val="32"/>
          <w:szCs w:val="32"/>
          <w:lang w:eastAsia="zh-CN"/>
        </w:rPr>
        <w:t>专家</w:t>
      </w:r>
      <w:r>
        <w:rPr>
          <w:rFonts w:hint="eastAsia" w:ascii="仿宋_GB2312" w:eastAsia="仿宋_GB2312"/>
          <w:color w:val="auto"/>
          <w:sz w:val="32"/>
          <w:szCs w:val="32"/>
        </w:rPr>
        <w:t>调解员</w:t>
      </w:r>
      <w:r>
        <w:rPr>
          <w:rFonts w:hint="eastAsia" w:ascii="仿宋_GB2312" w:eastAsia="仿宋_GB2312"/>
          <w:color w:val="auto"/>
          <w:sz w:val="32"/>
          <w:szCs w:val="32"/>
          <w:lang w:eastAsia="zh-CN"/>
        </w:rPr>
        <w:t>名单</w:t>
      </w:r>
    </w:p>
    <w:p>
      <w:pPr>
        <w:spacing w:line="540" w:lineRule="exact"/>
        <w:ind w:firstLine="640" w:firstLineChars="200"/>
        <w:rPr>
          <w:rFonts w:hint="default" w:ascii="仿宋_GB2312" w:eastAsia="仿宋_GB2312"/>
          <w:sz w:val="32"/>
          <w:szCs w:val="32"/>
          <w:lang w:val="en-US" w:eastAsia="zh-CN"/>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中共青岛市黄岛区人民法院党组</w:t>
      </w:r>
    </w:p>
    <w:p>
      <w:pPr>
        <w:ind w:firstLine="4480" w:firstLineChars="1400"/>
        <w:rPr>
          <w:rFonts w:hint="eastAsia" w:ascii="仿宋_GB2312" w:eastAsia="仿宋_GB2312"/>
          <w:sz w:val="32"/>
          <w:szCs w:val="32"/>
        </w:rPr>
      </w:pPr>
      <w:r>
        <w:rPr>
          <w:rFonts w:hint="eastAsia" w:ascii="仿宋_GB2312" w:eastAsia="仿宋_GB2312"/>
          <w:sz w:val="32"/>
          <w:szCs w:val="32"/>
        </w:rPr>
        <w:t>2021年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15</w:t>
      </w:r>
      <w:r>
        <w:rPr>
          <w:rFonts w:hint="eastAsia" w:ascii="仿宋_GB2312" w:eastAsia="仿宋_GB2312"/>
          <w:sz w:val="32"/>
          <w:szCs w:val="32"/>
        </w:rPr>
        <w:t xml:space="preserve">日 </w:t>
      </w:r>
    </w:p>
    <w:p>
      <w:pPr>
        <w:spacing w:line="560" w:lineRule="exact"/>
        <w:jc w:val="center"/>
        <w:rPr>
          <w:rFonts w:ascii="仿宋_GB2312" w:eastAsia="仿宋_GB2312"/>
          <w:sz w:val="32"/>
          <w:szCs w:val="32"/>
        </w:rPr>
      </w:pPr>
    </w:p>
    <w:p>
      <w:pPr>
        <w:spacing w:line="560" w:lineRule="exact"/>
        <w:jc w:val="both"/>
      </w:pPr>
      <w:r>
        <w:rPr>
          <w:rFonts w:ascii="Times New Roman" w:hAnsi="Times New Roman" w:eastAsia="宋体" w:cs="Times New Roman"/>
          <w:kern w:val="2"/>
          <w:sz w:val="21"/>
          <w:szCs w:val="24"/>
          <w:lang w:val="en-US" w:eastAsia="zh-CN" w:bidi="ar-SA"/>
        </w:rPr>
        <w:pict>
          <v:line id="Line 6" o:spid="_x0000_s1027" style="position:absolute;left:0;margin-left:8.2pt;margin-top:27.1pt;height:1.5pt;width:460.45pt;rotation:0f;z-index:251660288;" o:ole="f" fillcolor="#FFFFFF" filled="f" o:preferrelative="t" stroked="t" coordsize="21600,21600">
            <v:fill on="f" color2="#FFFFFF" focus="0%"/>
            <v:stroke weight="1.25pt" color="#000000" color2="#FFFFFF" miterlimit="2"/>
            <v:imagedata gain="65536f" blacklevel="0f" gamma="0"/>
            <o:lock v:ext="edit" position="f" selection="f" grouping="f" rotation="f" cropping="f" text="f" aspectratio="f"/>
          </v:line>
        </w:pict>
      </w:r>
    </w:p>
    <w:p>
      <w:pPr>
        <w:spacing w:line="560" w:lineRule="exact"/>
        <w:ind w:firstLine="320" w:firstLineChars="100"/>
        <w:rPr>
          <w:rFonts w:hint="eastAsia" w:ascii="仿宋_GB2312" w:eastAsia="仿宋_GB2312"/>
          <w:sz w:val="32"/>
          <w:szCs w:val="32"/>
        </w:rPr>
      </w:pPr>
      <w:r>
        <w:rPr>
          <w:rFonts w:ascii="仿宋_GB2312" w:hAnsi="Times New Roman" w:eastAsia="仿宋_GB2312" w:cs="Times New Roman"/>
          <w:kern w:val="2"/>
          <w:sz w:val="32"/>
          <w:szCs w:val="32"/>
          <w:lang w:val="en-US" w:eastAsia="zh-CN" w:bidi="ar-SA"/>
        </w:rPr>
        <w:pict>
          <v:line id="Line 5" o:spid="_x0000_s1028" style="position:absolute;left:0;margin-left:6.2pt;margin-top:31.65pt;height:1.2pt;width:460.95pt;rotation:0f;z-index:251659264;" o:ole="f" fillcolor="#FFFFFF" filled="f" o:preferrelative="t" stroked="t" coordsize="21600,21600">
            <v:fill on="f" color2="#FFFFFF" focus="0%"/>
            <v:stroke weight="1.25pt" color="#000000" color2="#FFFFFF" miterlimit="2"/>
            <v:imagedata gain="65536f" blacklevel="0f" gamma="0"/>
            <o:lock v:ext="edit" position="f" selection="f" grouping="f" rotation="f" cropping="f" text="f" aspectratio="f"/>
          </v:line>
        </w:pict>
      </w:r>
      <w:r>
        <w:rPr>
          <w:rFonts w:hint="eastAsia" w:ascii="仿宋_GB2312" w:eastAsia="仿宋_GB2312"/>
          <w:sz w:val="32"/>
          <w:szCs w:val="32"/>
        </w:rPr>
        <w:t>青岛市黄岛区人民法院           2021年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15</w:t>
      </w:r>
      <w:r>
        <w:rPr>
          <w:rFonts w:hint="eastAsia" w:ascii="仿宋_GB2312" w:eastAsia="仿宋_GB2312"/>
          <w:sz w:val="32"/>
          <w:szCs w:val="32"/>
        </w:rPr>
        <w:t>日印发</w:t>
      </w:r>
    </w:p>
    <w:p>
      <w:pPr>
        <w:jc w:val="center"/>
        <w:rPr>
          <w:rFonts w:hint="eastAsia" w:ascii="仿宋_GB2312" w:eastAsia="仿宋_GB2312"/>
          <w:sz w:val="32"/>
          <w:szCs w:val="32"/>
        </w:rPr>
      </w:pPr>
      <w:r>
        <w:rPr>
          <w:rFonts w:hint="eastAsia" w:ascii="宋体" w:hAnsi="宋体" w:cs="宋体"/>
          <w:b w:val="0"/>
          <w:bCs w:val="0"/>
          <w:color w:val="auto"/>
          <w:sz w:val="44"/>
          <w:szCs w:val="44"/>
        </w:rPr>
        <w:t>青岛市黄岛区人民法院</w:t>
      </w:r>
      <w:r>
        <w:rPr>
          <w:rFonts w:hint="eastAsia" w:ascii="宋体" w:hAnsi="宋体" w:cs="宋体"/>
          <w:b w:val="0"/>
          <w:bCs w:val="0"/>
          <w:color w:val="auto"/>
          <w:sz w:val="44"/>
          <w:szCs w:val="44"/>
          <w:lang w:val="en-US" w:eastAsia="zh-CN"/>
        </w:rPr>
        <w:t>特邀</w:t>
      </w:r>
      <w:r>
        <w:rPr>
          <w:rFonts w:hint="eastAsia" w:ascii="宋体" w:hAnsi="宋体" w:cs="宋体"/>
          <w:b w:val="0"/>
          <w:bCs w:val="0"/>
          <w:color w:val="auto"/>
          <w:sz w:val="44"/>
          <w:szCs w:val="44"/>
          <w:lang w:eastAsia="zh-CN"/>
        </w:rPr>
        <w:t>专家</w:t>
      </w:r>
      <w:r>
        <w:rPr>
          <w:rFonts w:hint="eastAsia" w:ascii="宋体" w:hAnsi="宋体" w:cs="宋体"/>
          <w:b w:val="0"/>
          <w:bCs w:val="0"/>
          <w:color w:val="auto"/>
          <w:sz w:val="44"/>
          <w:szCs w:val="44"/>
        </w:rPr>
        <w:t>调解员</w:t>
      </w:r>
      <w:r>
        <w:rPr>
          <w:rFonts w:hint="eastAsia" w:ascii="宋体" w:hAnsi="宋体" w:cs="宋体"/>
          <w:b w:val="0"/>
          <w:bCs w:val="0"/>
          <w:color w:val="auto"/>
          <w:sz w:val="44"/>
          <w:szCs w:val="44"/>
          <w:lang w:eastAsia="zh-CN"/>
        </w:rPr>
        <w:t>名单</w:t>
      </w:r>
    </w:p>
    <w:tbl>
      <w:tblPr>
        <w:tblpPr w:leftFromText="180" w:rightFromText="180" w:vertAnchor="text" w:horzAnchor="page" w:tblpX="705" w:tblpY="1180"/>
        <w:tblOverlap w:val="never"/>
        <w:tblW w:w="106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990"/>
        <w:gridCol w:w="405"/>
        <w:gridCol w:w="1140"/>
        <w:gridCol w:w="1560"/>
        <w:gridCol w:w="1035"/>
        <w:gridCol w:w="3135"/>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jc w:val="center"/>
              <w:rPr>
                <w:rFonts w:hint="eastAsia" w:ascii="宋体" w:hAnsi="宋体" w:cs="宋体"/>
                <w:b/>
                <w:bCs/>
                <w:sz w:val="24"/>
              </w:rPr>
            </w:pPr>
            <w:r>
              <w:rPr>
                <w:rFonts w:hint="eastAsia" w:ascii="宋体" w:hAnsi="宋体" w:cs="宋体"/>
                <w:b/>
                <w:bCs/>
                <w:sz w:val="24"/>
              </w:rPr>
              <w:t>序号</w:t>
            </w:r>
          </w:p>
        </w:tc>
        <w:tc>
          <w:tcPr>
            <w:tcW w:w="990" w:type="dxa"/>
            <w:vAlign w:val="center"/>
          </w:tcPr>
          <w:p>
            <w:pPr>
              <w:jc w:val="center"/>
              <w:rPr>
                <w:rFonts w:hint="eastAsia" w:ascii="宋体" w:hAnsi="宋体" w:cs="宋体"/>
                <w:b/>
                <w:bCs/>
                <w:sz w:val="24"/>
              </w:rPr>
            </w:pPr>
            <w:r>
              <w:rPr>
                <w:rFonts w:hint="eastAsia" w:ascii="宋体" w:hAnsi="宋体" w:cs="宋体"/>
                <w:b/>
                <w:bCs/>
                <w:sz w:val="24"/>
              </w:rPr>
              <w:t>姓名</w:t>
            </w:r>
          </w:p>
        </w:tc>
        <w:tc>
          <w:tcPr>
            <w:tcW w:w="405" w:type="dxa"/>
            <w:vAlign w:val="center"/>
          </w:tcPr>
          <w:p>
            <w:pPr>
              <w:jc w:val="center"/>
              <w:rPr>
                <w:rFonts w:hint="eastAsia" w:ascii="宋体" w:hAnsi="宋体" w:cs="宋体"/>
                <w:b/>
                <w:bCs/>
                <w:sz w:val="24"/>
              </w:rPr>
            </w:pPr>
            <w:r>
              <w:rPr>
                <w:rFonts w:hint="eastAsia" w:ascii="宋体" w:hAnsi="宋体" w:cs="宋体"/>
                <w:b/>
                <w:bCs/>
                <w:sz w:val="24"/>
              </w:rPr>
              <w:t>性别</w:t>
            </w:r>
          </w:p>
        </w:tc>
        <w:tc>
          <w:tcPr>
            <w:tcW w:w="1140" w:type="dxa"/>
            <w:vAlign w:val="center"/>
          </w:tcPr>
          <w:p>
            <w:pPr>
              <w:jc w:val="center"/>
              <w:rPr>
                <w:rFonts w:hint="eastAsia" w:ascii="宋体" w:hAnsi="宋体" w:cs="宋体"/>
                <w:b/>
                <w:bCs/>
                <w:sz w:val="24"/>
              </w:rPr>
            </w:pPr>
            <w:r>
              <w:rPr>
                <w:rFonts w:hint="eastAsia" w:ascii="宋体" w:hAnsi="宋体" w:cs="宋体"/>
                <w:b/>
                <w:bCs/>
                <w:sz w:val="24"/>
              </w:rPr>
              <w:t>职称</w:t>
            </w:r>
          </w:p>
        </w:tc>
        <w:tc>
          <w:tcPr>
            <w:tcW w:w="1560" w:type="dxa"/>
            <w:vAlign w:val="center"/>
          </w:tcPr>
          <w:p>
            <w:pPr>
              <w:jc w:val="center"/>
              <w:rPr>
                <w:rFonts w:hint="eastAsia" w:ascii="宋体" w:hAnsi="宋体" w:cs="宋体"/>
                <w:b/>
                <w:bCs/>
                <w:sz w:val="24"/>
              </w:rPr>
            </w:pPr>
            <w:r>
              <w:rPr>
                <w:rFonts w:hint="eastAsia" w:ascii="宋体" w:hAnsi="宋体" w:cs="宋体"/>
                <w:b/>
                <w:bCs/>
                <w:sz w:val="24"/>
              </w:rPr>
              <w:t>联系电话</w:t>
            </w:r>
          </w:p>
        </w:tc>
        <w:tc>
          <w:tcPr>
            <w:tcW w:w="1035" w:type="dxa"/>
            <w:vAlign w:val="center"/>
          </w:tcPr>
          <w:p>
            <w:pPr>
              <w:jc w:val="center"/>
              <w:rPr>
                <w:rFonts w:hint="eastAsia" w:ascii="宋体" w:hAnsi="宋体" w:cs="宋体"/>
                <w:b/>
                <w:bCs/>
                <w:sz w:val="24"/>
              </w:rPr>
            </w:pPr>
            <w:r>
              <w:rPr>
                <w:rFonts w:hint="eastAsia" w:ascii="宋体" w:hAnsi="宋体" w:cs="宋体"/>
                <w:b/>
                <w:bCs/>
                <w:sz w:val="24"/>
              </w:rPr>
              <w:t>专业领域</w:t>
            </w:r>
          </w:p>
        </w:tc>
        <w:tc>
          <w:tcPr>
            <w:tcW w:w="3135" w:type="dxa"/>
            <w:vAlign w:val="center"/>
          </w:tcPr>
          <w:p>
            <w:pPr>
              <w:jc w:val="center"/>
              <w:rPr>
                <w:rFonts w:hint="eastAsia" w:ascii="宋体" w:hAnsi="宋体" w:cs="宋体"/>
                <w:b/>
                <w:bCs/>
                <w:sz w:val="24"/>
              </w:rPr>
            </w:pPr>
            <w:r>
              <w:rPr>
                <w:rFonts w:hint="eastAsia" w:ascii="宋体" w:hAnsi="宋体" w:cs="宋体"/>
                <w:b/>
                <w:bCs/>
                <w:sz w:val="24"/>
              </w:rPr>
              <w:t>业绩或成果</w:t>
            </w:r>
          </w:p>
        </w:tc>
        <w:tc>
          <w:tcPr>
            <w:tcW w:w="1714" w:type="dxa"/>
            <w:vAlign w:val="center"/>
          </w:tcPr>
          <w:p>
            <w:pPr>
              <w:jc w:val="center"/>
              <w:rPr>
                <w:rFonts w:hint="eastAsia" w:ascii="宋体" w:hAnsi="宋体" w:eastAsia="宋体" w:cs="宋体"/>
                <w:b/>
                <w:bCs/>
                <w:sz w:val="24"/>
                <w:lang w:eastAsia="zh-CN"/>
              </w:rPr>
            </w:pPr>
            <w:r>
              <w:rPr>
                <w:rFonts w:hint="eastAsia" w:ascii="宋体" w:hAnsi="宋体" w:cs="宋体"/>
                <w:b/>
                <w:bCs/>
                <w:sz w:val="24"/>
                <w:lang w:eastAsia="zh-CN"/>
              </w:rPr>
              <w:t>所属院校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8" w:hRule="atLeast"/>
        </w:trPr>
        <w:tc>
          <w:tcPr>
            <w:tcW w:w="621"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9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康雷闪</w:t>
            </w:r>
          </w:p>
        </w:tc>
        <w:tc>
          <w:tcPr>
            <w:tcW w:w="40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男</w:t>
            </w:r>
          </w:p>
        </w:tc>
        <w:tc>
          <w:tcPr>
            <w:tcW w:w="114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副教授</w:t>
            </w:r>
          </w:p>
        </w:tc>
        <w:tc>
          <w:tcPr>
            <w:tcW w:w="15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15376719309</w:t>
            </w:r>
          </w:p>
        </w:tc>
        <w:tc>
          <w:tcPr>
            <w:tcW w:w="10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公司法</w:t>
            </w:r>
          </w:p>
        </w:tc>
        <w:tc>
          <w:tcPr>
            <w:tcW w:w="3135" w:type="dxa"/>
            <w:vAlign w:val="center"/>
          </w:tcPr>
          <w:p>
            <w:pPr>
              <w:jc w:val="both"/>
              <w:rPr>
                <w:rFonts w:hint="eastAsia" w:ascii="宋体" w:hAnsi="宋体" w:eastAsia="宋体" w:cs="宋体"/>
                <w:sz w:val="24"/>
                <w:szCs w:val="24"/>
              </w:rPr>
            </w:pPr>
            <w:r>
              <w:rPr>
                <w:rFonts w:hint="eastAsia" w:ascii="宋体" w:hAnsi="宋体" w:eastAsia="宋体" w:cs="宋体"/>
                <w:sz w:val="24"/>
                <w:szCs w:val="24"/>
              </w:rPr>
              <w:t>承担公司法的教学科研任务。在《法学》《法学评论》《法商研究》等专业期刊发表论文20余篇。</w:t>
            </w:r>
          </w:p>
        </w:tc>
        <w:tc>
          <w:tcPr>
            <w:tcW w:w="171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中国石油大学（华东）文法学院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0" w:hRule="atLeast"/>
        </w:trPr>
        <w:tc>
          <w:tcPr>
            <w:tcW w:w="621"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9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秦勇</w:t>
            </w:r>
          </w:p>
        </w:tc>
        <w:tc>
          <w:tcPr>
            <w:tcW w:w="40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男</w:t>
            </w:r>
          </w:p>
        </w:tc>
        <w:tc>
          <w:tcPr>
            <w:tcW w:w="114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教授</w:t>
            </w:r>
          </w:p>
        </w:tc>
        <w:tc>
          <w:tcPr>
            <w:tcW w:w="15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13553068896</w:t>
            </w:r>
          </w:p>
        </w:tc>
        <w:tc>
          <w:tcPr>
            <w:tcW w:w="10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知识产权法</w:t>
            </w:r>
          </w:p>
        </w:tc>
        <w:tc>
          <w:tcPr>
            <w:tcW w:w="3135" w:type="dxa"/>
            <w:vAlign w:val="center"/>
          </w:tcPr>
          <w:p>
            <w:pPr>
              <w:jc w:val="both"/>
              <w:rPr>
                <w:rFonts w:hint="eastAsia" w:ascii="宋体" w:hAnsi="宋体" w:eastAsia="宋体" w:cs="宋体"/>
                <w:sz w:val="24"/>
                <w:szCs w:val="24"/>
              </w:rPr>
            </w:pPr>
            <w:r>
              <w:rPr>
                <w:rFonts w:hint="eastAsia" w:ascii="宋体" w:hAnsi="宋体" w:eastAsia="宋体" w:cs="宋体"/>
                <w:sz w:val="24"/>
                <w:szCs w:val="24"/>
              </w:rPr>
              <w:t>在《法学论坛》《经济法论坛》《河北法学》等CSSCI、中文核心等学术期刊发表论文50余篇；入选山东省国家知识产权保护中心人才专家库成员；入选教育部、中央政法委“双千计划”；入选山东省政法委、山东省教育厅“双百计划”等。获得厅局级以上各种科研奖励20余项。</w:t>
            </w:r>
          </w:p>
        </w:tc>
        <w:tc>
          <w:tcPr>
            <w:tcW w:w="171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中国石油大学（华东）文法学院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trPr>
        <w:tc>
          <w:tcPr>
            <w:tcW w:w="621"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9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孙增芹</w:t>
            </w:r>
          </w:p>
        </w:tc>
        <w:tc>
          <w:tcPr>
            <w:tcW w:w="40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女</w:t>
            </w:r>
          </w:p>
        </w:tc>
        <w:tc>
          <w:tcPr>
            <w:tcW w:w="114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副教授</w:t>
            </w:r>
          </w:p>
        </w:tc>
        <w:tc>
          <w:tcPr>
            <w:tcW w:w="15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18953227259</w:t>
            </w:r>
          </w:p>
        </w:tc>
        <w:tc>
          <w:tcPr>
            <w:tcW w:w="10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涉外法律</w:t>
            </w:r>
          </w:p>
        </w:tc>
        <w:tc>
          <w:tcPr>
            <w:tcW w:w="3135" w:type="dxa"/>
            <w:vAlign w:val="center"/>
          </w:tcPr>
          <w:p>
            <w:pPr>
              <w:jc w:val="both"/>
              <w:rPr>
                <w:rFonts w:hint="eastAsia" w:ascii="宋体" w:hAnsi="宋体" w:eastAsia="宋体" w:cs="宋体"/>
                <w:sz w:val="24"/>
                <w:szCs w:val="24"/>
              </w:rPr>
            </w:pPr>
            <w:r>
              <w:rPr>
                <w:rFonts w:hint="eastAsia" w:ascii="宋体" w:hAnsi="宋体" w:eastAsia="宋体" w:cs="宋体"/>
                <w:sz w:val="24"/>
                <w:szCs w:val="24"/>
              </w:rPr>
              <w:t>长期从事国际经济法学、环境能源法学等的教学，主持省部级科研与教学课题5项，发表高水平论文20余篇，获得厅局级一等奖2项、二等奖多项。</w:t>
            </w:r>
          </w:p>
        </w:tc>
        <w:tc>
          <w:tcPr>
            <w:tcW w:w="171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中国石油大学（华东）文法学院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trPr>
        <w:tc>
          <w:tcPr>
            <w:tcW w:w="621"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9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田国兴</w:t>
            </w:r>
          </w:p>
        </w:tc>
        <w:tc>
          <w:tcPr>
            <w:tcW w:w="40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男</w:t>
            </w:r>
          </w:p>
        </w:tc>
        <w:tc>
          <w:tcPr>
            <w:tcW w:w="114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副教授</w:t>
            </w:r>
          </w:p>
        </w:tc>
        <w:tc>
          <w:tcPr>
            <w:tcW w:w="15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15335422699</w:t>
            </w:r>
          </w:p>
        </w:tc>
        <w:tc>
          <w:tcPr>
            <w:tcW w:w="10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建</w:t>
            </w:r>
            <w:r>
              <w:rPr>
                <w:rFonts w:hint="eastAsia" w:ascii="宋体" w:hAnsi="宋体" w:eastAsia="宋体" w:cs="宋体"/>
                <w:sz w:val="24"/>
                <w:szCs w:val="24"/>
                <w:lang w:eastAsia="zh-CN"/>
              </w:rPr>
              <w:t>设</w:t>
            </w:r>
            <w:r>
              <w:rPr>
                <w:rFonts w:hint="eastAsia" w:ascii="宋体" w:hAnsi="宋体" w:eastAsia="宋体" w:cs="宋体"/>
                <w:sz w:val="24"/>
                <w:szCs w:val="24"/>
              </w:rPr>
              <w:t>工程</w:t>
            </w:r>
          </w:p>
        </w:tc>
        <w:tc>
          <w:tcPr>
            <w:tcW w:w="3135" w:type="dxa"/>
            <w:vAlign w:val="center"/>
          </w:tcPr>
          <w:p>
            <w:pPr>
              <w:jc w:val="both"/>
              <w:rPr>
                <w:rFonts w:hint="eastAsia" w:ascii="宋体" w:hAnsi="宋体" w:eastAsia="宋体" w:cs="宋体"/>
                <w:sz w:val="24"/>
                <w:szCs w:val="24"/>
              </w:rPr>
            </w:pPr>
            <w:r>
              <w:rPr>
                <w:rFonts w:hint="eastAsia" w:ascii="宋体" w:hAnsi="宋体" w:eastAsia="宋体" w:cs="宋体"/>
                <w:sz w:val="24"/>
                <w:szCs w:val="24"/>
              </w:rPr>
              <w:t>公开发表论文《建筑物高空“被动坠物”侵权损害赔偿责任研究》《“三权”时代下宅基地流转之规则设计》等论文；撰写专著《精选民事案例评析》《民法原理专题研究》；主持和参与科研项目《公司僵局化解研究》《基层矛盾纠纷多元化解调处体系研究—以东营模式为例》等。</w:t>
            </w:r>
          </w:p>
        </w:tc>
        <w:tc>
          <w:tcPr>
            <w:tcW w:w="171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中国石油大学（华东）文法学院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trPr>
        <w:tc>
          <w:tcPr>
            <w:tcW w:w="621"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9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黄晓林</w:t>
            </w:r>
          </w:p>
        </w:tc>
        <w:tc>
          <w:tcPr>
            <w:tcW w:w="405"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女</w:t>
            </w:r>
          </w:p>
        </w:tc>
        <w:tc>
          <w:tcPr>
            <w:tcW w:w="114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副教授</w:t>
            </w:r>
          </w:p>
        </w:tc>
        <w:tc>
          <w:tcPr>
            <w:tcW w:w="15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15275233726</w:t>
            </w:r>
          </w:p>
        </w:tc>
        <w:tc>
          <w:tcPr>
            <w:tcW w:w="10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公司法</w:t>
            </w:r>
          </w:p>
        </w:tc>
        <w:tc>
          <w:tcPr>
            <w:tcW w:w="3135" w:type="dxa"/>
            <w:vAlign w:val="center"/>
          </w:tcPr>
          <w:p>
            <w:pPr>
              <w:rPr>
                <w:rFonts w:hint="eastAsia" w:ascii="宋体" w:hAnsi="宋体" w:eastAsia="宋体" w:cs="宋体"/>
                <w:sz w:val="24"/>
                <w:szCs w:val="24"/>
              </w:rPr>
            </w:pPr>
            <w:r>
              <w:rPr>
                <w:rFonts w:hint="eastAsia" w:ascii="宋体" w:hAnsi="宋体" w:eastAsia="宋体" w:cs="宋体"/>
                <w:kern w:val="2"/>
                <w:sz w:val="24"/>
                <w:szCs w:val="24"/>
                <w:lang w:val="en-US" w:eastAsia="zh-CN" w:bidi="ar-SA"/>
              </w:rPr>
              <w:t>在CSSCI等各类中外学术期刊发表论文近40篇，主持国家级项目1项、省部级项目2项，出版著作4部，获青岛市社会科学优秀成果二等奖、山东省法学会优秀成果一等奖、民政部三等奖等。</w:t>
            </w:r>
          </w:p>
        </w:tc>
        <w:tc>
          <w:tcPr>
            <w:tcW w:w="1714"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山东科技大学文法学院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trPr>
        <w:tc>
          <w:tcPr>
            <w:tcW w:w="621"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9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李钢</w:t>
            </w:r>
          </w:p>
        </w:tc>
        <w:tc>
          <w:tcPr>
            <w:tcW w:w="40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男</w:t>
            </w:r>
          </w:p>
        </w:tc>
        <w:tc>
          <w:tcPr>
            <w:tcW w:w="114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副教授</w:t>
            </w:r>
          </w:p>
        </w:tc>
        <w:tc>
          <w:tcPr>
            <w:tcW w:w="15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13792493907</w:t>
            </w:r>
          </w:p>
        </w:tc>
        <w:tc>
          <w:tcPr>
            <w:tcW w:w="10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知识产权法</w:t>
            </w:r>
          </w:p>
        </w:tc>
        <w:tc>
          <w:tcPr>
            <w:tcW w:w="3135" w:type="dxa"/>
            <w:vAlign w:val="center"/>
          </w:tcPr>
          <w:p>
            <w:pPr>
              <w:rPr>
                <w:rFonts w:hint="eastAsia" w:ascii="宋体" w:hAnsi="宋体" w:eastAsia="宋体" w:cs="宋体"/>
                <w:sz w:val="24"/>
                <w:szCs w:val="24"/>
              </w:rPr>
            </w:pPr>
            <w:r>
              <w:rPr>
                <w:rFonts w:hint="eastAsia" w:ascii="宋体" w:hAnsi="宋体" w:eastAsia="宋体" w:cs="宋体"/>
                <w:sz w:val="24"/>
                <w:szCs w:val="24"/>
              </w:rPr>
              <w:t>法学博士，文法学院（知识产权学院）高新科技与知识产权法研究所所长，青岛西海岸新区知识产权纠纷人民调解委员会成员，山东省法学会科技法研究会理事。主持国家社科基金项目1项，省社科项目1项，参与国家及省级项目多项</w:t>
            </w:r>
            <w:r>
              <w:rPr>
                <w:rFonts w:hint="eastAsia" w:ascii="宋体" w:hAnsi="宋体" w:eastAsia="宋体" w:cs="宋体"/>
                <w:sz w:val="24"/>
                <w:szCs w:val="24"/>
                <w:lang w:eastAsia="zh-CN"/>
              </w:rPr>
              <w:t>。</w:t>
            </w:r>
          </w:p>
        </w:tc>
        <w:tc>
          <w:tcPr>
            <w:tcW w:w="1714"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山东科技大学文法学院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trPr>
        <w:tc>
          <w:tcPr>
            <w:tcW w:w="621"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9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韩天竹</w:t>
            </w:r>
          </w:p>
        </w:tc>
        <w:tc>
          <w:tcPr>
            <w:tcW w:w="405"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女</w:t>
            </w:r>
          </w:p>
        </w:tc>
        <w:tc>
          <w:tcPr>
            <w:tcW w:w="1140" w:type="dxa"/>
            <w:vAlign w:val="center"/>
          </w:tcPr>
          <w:p>
            <w:pPr>
              <w:jc w:val="center"/>
              <w:rPr>
                <w:rFonts w:hint="eastAsia" w:ascii="宋体" w:hAnsi="宋体" w:eastAsia="宋体" w:cs="宋体"/>
                <w:sz w:val="24"/>
                <w:szCs w:val="24"/>
              </w:rPr>
            </w:pPr>
            <w:r>
              <w:rPr>
                <w:rFonts w:hint="eastAsia" w:ascii="宋体" w:hAnsi="宋体" w:cs="Helvetica Neue"/>
                <w:color w:val="000000"/>
                <w:kern w:val="0"/>
                <w:sz w:val="24"/>
                <w:szCs w:val="24"/>
              </w:rPr>
              <w:t>副教授</w:t>
            </w:r>
          </w:p>
        </w:tc>
        <w:tc>
          <w:tcPr>
            <w:tcW w:w="15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18663451757</w:t>
            </w:r>
          </w:p>
        </w:tc>
        <w:tc>
          <w:tcPr>
            <w:tcW w:w="10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涉外法律</w:t>
            </w:r>
          </w:p>
        </w:tc>
        <w:tc>
          <w:tcPr>
            <w:tcW w:w="313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英国曼彻斯特大学法学硕士、法学博士，中国法学会世界贸易组织法研究会理事，山东省国际法学研究会暨海峡两岸关系法研究会副秘书长山东国际商会涉外法律专业委员会委员。主要研究方向为WTO法、国际贸易法、国际投资法。</w:t>
            </w:r>
          </w:p>
        </w:tc>
        <w:tc>
          <w:tcPr>
            <w:tcW w:w="1714"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山东科技大学文法学院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trPr>
        <w:tc>
          <w:tcPr>
            <w:tcW w:w="621"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9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王次宝</w:t>
            </w:r>
          </w:p>
        </w:tc>
        <w:tc>
          <w:tcPr>
            <w:tcW w:w="40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男</w:t>
            </w:r>
          </w:p>
        </w:tc>
        <w:tc>
          <w:tcPr>
            <w:tcW w:w="114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副教授</w:t>
            </w:r>
          </w:p>
        </w:tc>
        <w:tc>
          <w:tcPr>
            <w:tcW w:w="156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13789879139</w:t>
            </w:r>
          </w:p>
        </w:tc>
        <w:tc>
          <w:tcPr>
            <w:tcW w:w="103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建</w:t>
            </w:r>
            <w:r>
              <w:rPr>
                <w:rFonts w:hint="eastAsia" w:ascii="宋体" w:hAnsi="宋体" w:eastAsia="宋体" w:cs="宋体"/>
                <w:sz w:val="24"/>
                <w:szCs w:val="24"/>
                <w:lang w:eastAsia="zh-CN"/>
              </w:rPr>
              <w:t>设</w:t>
            </w:r>
            <w:r>
              <w:rPr>
                <w:rFonts w:hint="eastAsia" w:ascii="宋体" w:hAnsi="宋体" w:eastAsia="宋体" w:cs="宋体"/>
                <w:sz w:val="24"/>
                <w:szCs w:val="24"/>
              </w:rPr>
              <w:t>工程</w:t>
            </w:r>
          </w:p>
        </w:tc>
        <w:tc>
          <w:tcPr>
            <w:tcW w:w="3135" w:type="dxa"/>
            <w:vAlign w:val="top"/>
          </w:tcPr>
          <w:p>
            <w:pPr>
              <w:spacing w:after="156" w:line="240" w:lineRule="auto"/>
              <w:jc w:val="both"/>
              <w:rPr>
                <w:rFonts w:hint="eastAsia" w:ascii="宋体" w:hAnsi="宋体" w:eastAsia="宋体" w:cs="宋体"/>
                <w:sz w:val="24"/>
                <w:szCs w:val="24"/>
              </w:rPr>
            </w:pPr>
            <w:r>
              <w:rPr>
                <w:rFonts w:hint="eastAsia" w:ascii="宋体" w:hAnsi="宋体" w:eastAsia="宋体" w:cs="宋体"/>
                <w:sz w:val="24"/>
                <w:szCs w:val="24"/>
              </w:rPr>
              <w:t>近年来先后在《清华法学》《现代法学》《当代法学》《北方法学》《河北法学》《内蒙古社会科学》等刊物上发表论文30余篇，出版专著1部，参编《民事程序法研究》等编著10部，主持国家社会科学后期资助项目1项，主持或参与省部级课题12项。</w:t>
            </w:r>
          </w:p>
        </w:tc>
        <w:tc>
          <w:tcPr>
            <w:tcW w:w="1714"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山东科技大学文法学院</w:t>
            </w:r>
          </w:p>
        </w:tc>
      </w:tr>
    </w:tbl>
    <w:p>
      <w:pPr>
        <w:rPr>
          <w:rFonts w:hint="eastAsia" w:ascii="宋体" w:hAnsi="宋体" w:cs="宋体"/>
          <w:sz w:val="24"/>
        </w:rPr>
      </w:pPr>
    </w:p>
    <w:p>
      <w:pPr>
        <w:ind w:firstLine="4480" w:firstLineChars="1400"/>
        <w:rPr>
          <w:rFonts w:hint="eastAsia" w:ascii="仿宋_GB2312" w:eastAsia="仿宋_GB2312"/>
          <w:sz w:val="32"/>
          <w:szCs w:val="32"/>
        </w:rPr>
      </w:pPr>
    </w:p>
    <w:p>
      <w:pPr>
        <w:spacing w:line="560" w:lineRule="exact"/>
        <w:ind w:firstLine="320" w:firstLineChars="100"/>
        <w:rPr>
          <w:rFonts w:hint="eastAsia" w:ascii="仿宋_GB2312" w:eastAsia="仿宋_GB2312"/>
          <w:sz w:val="32"/>
          <w:szCs w:val="32"/>
        </w:rPr>
      </w:pPr>
    </w:p>
    <w:sectPr>
      <w:footerReference r:id="rId4" w:type="default"/>
      <w:footerReference r:id="rId5" w:type="even"/>
      <w:pgSz w:w="11907" w:h="16840"/>
      <w:pgMar w:top="2098" w:right="1134" w:bottom="1985" w:left="113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小标宋简体">
    <w:altName w:val="Arial Unicode MS"/>
    <w:panose1 w:val="03000509000000000000"/>
    <w:charset w:val="86"/>
    <w:family w:val="auto"/>
    <w:pitch w:val="default"/>
    <w:sig w:usb0="00000001" w:usb1="080E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auto"/>
    <w:pitch w:val="default"/>
    <w:sig w:usb0="00000001" w:usb1="080E0000" w:usb2="00000010" w:usb3="00000000" w:csb0="00040000" w:csb1="00000000"/>
  </w:font>
  <w:font w:name="Helvetica Neue">
    <w:altName w:val="Times New Roman"/>
    <w:panose1 w:val="02000503000000020004"/>
    <w:charset w:val="00"/>
    <w:family w:val="auto"/>
    <w:pitch w:val="default"/>
    <w:sig w:usb0="00000000" w:usb1="00000000" w:usb2="0000001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t>- 1 -</w:t>
    </w:r>
    <w:r>
      <w:rPr>
        <w:rFonts w:ascii="宋体" w:hAnsi="宋体" w:eastAsia="宋体"/>
        <w:sz w:val="28"/>
        <w:szCs w:val="28"/>
      </w:rP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framePr w:wrap="around" w:hAnchor="margin" w:vAnchor="text" w:xAlign="right" w:y="1"/>
      <w:rPr>
        <w:rStyle w:val="14"/>
      </w:rPr>
    </w:pPr>
    <w:r>
      <w:rPr>
        <w:rStyle w:val="14"/>
      </w:rPr>
      <w:fldChar w:fldCharType="begin"/>
    </w:r>
    <w:r>
      <w:rPr>
        <w:rStyle w:val="14"/>
      </w:rPr>
      <w:instrText xml:space="preserve">PAGE  </w:instrText>
    </w:r>
    <w:r>
      <w:rPr>
        <w:rStyle w:val="14"/>
      </w:rPr>
      <w:fldChar w:fldCharType="separate"/>
    </w:r>
    <w:r>
      <w:rPr>
        <w:rStyle w:val="14"/>
      </w:rPr>
      <w:t>- 2 -</w:t>
    </w:r>
    <w:r>
      <w:rPr>
        <w:rStyle w:val="14"/>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paragraph" w:styleId="2">
    <w:name w:val="Body Text"/>
    <w:basedOn w:val="1"/>
    <w:uiPriority w:val="0"/>
    <w:pPr>
      <w:spacing w:line="540" w:lineRule="atLeast"/>
      <w:jc w:val="center"/>
    </w:pPr>
    <w:rPr>
      <w:rFonts w:hint="eastAsia" w:ascii="方正小标宋简体" w:eastAsia="方正小标宋简体"/>
      <w:color w:val="000000"/>
      <w:sz w:val="36"/>
    </w:rPr>
  </w:style>
  <w:style w:type="paragraph" w:styleId="3">
    <w:name w:val="Body Text Indent"/>
    <w:basedOn w:val="1"/>
    <w:uiPriority w:val="0"/>
    <w:pPr>
      <w:widowControl/>
      <w:spacing w:before="100" w:beforeAutospacing="1" w:after="100" w:afterAutospacing="1"/>
      <w:jc w:val="left"/>
    </w:pPr>
    <w:rPr>
      <w:rFonts w:ascii="宋体" w:hAnsi="宋体"/>
      <w:kern w:val="0"/>
      <w:sz w:val="24"/>
    </w:rPr>
  </w:style>
  <w:style w:type="paragraph" w:styleId="4">
    <w:name w:val="Date"/>
    <w:basedOn w:val="1"/>
    <w:next w:val="1"/>
    <w:uiPriority w:val="0"/>
    <w:pPr>
      <w:ind w:left="100" w:leftChars="2500"/>
    </w:pPr>
  </w:style>
  <w:style w:type="paragraph" w:styleId="5">
    <w:name w:val="Body Text Indent 2"/>
    <w:basedOn w:val="1"/>
    <w:uiPriority w:val="0"/>
    <w:pPr>
      <w:wordWrap w:val="0"/>
      <w:adjustRightInd w:val="0"/>
      <w:snapToGrid w:val="0"/>
      <w:spacing w:line="360" w:lineRule="auto"/>
      <w:ind w:firstLine="640" w:firstLineChars="200"/>
    </w:pPr>
    <w:rPr>
      <w:rFonts w:ascii="仿宋_GB2312" w:eastAsia="仿宋_GB2312"/>
      <w:sz w:val="32"/>
    </w:rPr>
  </w:style>
  <w:style w:type="paragraph" w:styleId="6">
    <w:name w:val="Balloon Text"/>
    <w:basedOn w:val="1"/>
    <w:semiHidden/>
    <w:uiPriority w:val="0"/>
    <w:rPr>
      <w:sz w:val="18"/>
      <w:szCs w:val="18"/>
    </w:rPr>
  </w:style>
  <w:style w:type="paragraph" w:styleId="7">
    <w:name w:val="footer"/>
    <w:basedOn w:val="1"/>
    <w:link w:val="23"/>
    <w:uiPriority w:val="99"/>
    <w:pPr>
      <w:tabs>
        <w:tab w:val="center" w:pos="4153"/>
        <w:tab w:val="right" w:pos="8306"/>
      </w:tabs>
      <w:snapToGrid w:val="0"/>
      <w:jc w:val="left"/>
    </w:pPr>
    <w:rPr>
      <w:sz w:val="18"/>
      <w:szCs w:val="18"/>
    </w:rPr>
  </w:style>
  <w:style w:type="paragraph" w:styleId="8">
    <w:name w:val="header"/>
    <w:basedOn w:val="1"/>
    <w:link w:val="22"/>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uiPriority w:val="0"/>
    <w:pPr>
      <w:spacing w:line="520" w:lineRule="exact"/>
      <w:ind w:firstLine="645"/>
    </w:pPr>
    <w:rPr>
      <w:rFonts w:ascii="仿宋_GB2312" w:eastAsia="仿宋_GB2312"/>
      <w:sz w:val="32"/>
    </w:rPr>
  </w:style>
  <w:style w:type="paragraph" w:styleId="10">
    <w:name w:val="Body Text 2"/>
    <w:basedOn w:val="1"/>
    <w:uiPriority w:val="0"/>
    <w:pPr>
      <w:spacing w:line="520" w:lineRule="exact"/>
    </w:pPr>
    <w:rPr>
      <w:rFonts w:ascii="仿宋_GB2312" w:eastAsia="仿宋_GB2312"/>
      <w:sz w:val="32"/>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character" w:styleId="13">
    <w:name w:val="Strong"/>
    <w:basedOn w:val="12"/>
    <w:qFormat/>
    <w:uiPriority w:val="0"/>
    <w:rPr>
      <w:b/>
      <w:bCs/>
    </w:rPr>
  </w:style>
  <w:style w:type="character" w:styleId="14">
    <w:name w:val="page number"/>
    <w:basedOn w:val="12"/>
    <w:uiPriority w:val="0"/>
    <w:rPr/>
  </w:style>
  <w:style w:type="paragraph" w:customStyle="1" w:styleId="15">
    <w:name w:val="Char Char Char Char"/>
    <w:basedOn w:val="1"/>
    <w:uiPriority w:val="0"/>
    <w:pPr>
      <w:spacing w:after="160" w:line="240" w:lineRule="exact"/>
    </w:pPr>
    <w:rPr>
      <w:szCs w:val="20"/>
    </w:rPr>
  </w:style>
  <w:style w:type="paragraph" w:customStyle="1" w:styleId="16">
    <w:name w:val="Char"/>
    <w:basedOn w:val="1"/>
    <w:uiPriority w:val="0"/>
    <w:rPr>
      <w:rFonts w:ascii="宋体" w:hAnsi="宋体" w:cs="Courier New"/>
      <w:sz w:val="32"/>
      <w:szCs w:val="32"/>
    </w:rPr>
  </w:style>
  <w:style w:type="paragraph" w:customStyle="1" w:styleId="17">
    <w:name w:val="Char1"/>
    <w:basedOn w:val="1"/>
    <w:uiPriority w:val="0"/>
    <w:rPr>
      <w:rFonts w:ascii="宋体" w:hAnsi="宋体" w:cs="Courier New"/>
      <w:sz w:val="32"/>
      <w:szCs w:val="32"/>
    </w:rPr>
  </w:style>
  <w:style w:type="paragraph" w:customStyle="1" w:styleId="18">
    <w:name w:val="List Paragraph"/>
    <w:basedOn w:val="1"/>
    <w:qFormat/>
    <w:uiPriority w:val="34"/>
    <w:pPr>
      <w:ind w:firstLine="420" w:firstLineChars="200"/>
    </w:pPr>
  </w:style>
  <w:style w:type="character" w:customStyle="1" w:styleId="19">
    <w:name w:val="style7"/>
    <w:basedOn w:val="12"/>
    <w:uiPriority w:val="0"/>
    <w:rPr/>
  </w:style>
  <w:style w:type="character" w:customStyle="1" w:styleId="20">
    <w:name w:val="style21"/>
    <w:basedOn w:val="12"/>
    <w:uiPriority w:val="0"/>
    <w:rPr>
      <w:b/>
      <w:bCs/>
      <w:color w:val="000000"/>
      <w:sz w:val="27"/>
      <w:szCs w:val="27"/>
    </w:rPr>
  </w:style>
  <w:style w:type="character" w:customStyle="1" w:styleId="21">
    <w:name w:val="eee"/>
    <w:basedOn w:val="12"/>
    <w:uiPriority w:val="0"/>
    <w:rPr/>
  </w:style>
  <w:style w:type="character" w:customStyle="1" w:styleId="22">
    <w:name w:val="页眉 Char"/>
    <w:basedOn w:val="12"/>
    <w:link w:val="8"/>
    <w:uiPriority w:val="0"/>
    <w:rPr>
      <w:kern w:val="2"/>
      <w:sz w:val="18"/>
      <w:szCs w:val="18"/>
    </w:rPr>
  </w:style>
  <w:style w:type="character" w:customStyle="1" w:styleId="23">
    <w:name w:val="页脚 Char"/>
    <w:basedOn w:val="12"/>
    <w:link w:val="7"/>
    <w:uiPriority w:val="99"/>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3</Pages>
  <Words>151</Words>
  <Characters>867</Characters>
  <Lines>7</Lines>
  <Paragraphs>2</Paragraphs>
  <ScaleCrop>false</ScaleCrop>
  <LinksUpToDate>false</LinksUpToDate>
  <CharactersWithSpaces>0</CharactersWithSpaces>
  <Application>WPS Office 个人版_9.1.0.4842_{F1E327BC-269C-435d-A152-05C5408002CA}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2021-09-06T02:21:00Z</dcterms:created>
  <dc:creator>haier</dc:creator>
  <cp:lastModifiedBy>Administrator</cp:lastModifiedBy>
  <cp:lastPrinted>2021-10-19T01:26:00Z</cp:lastPrinted>
  <dcterms:modified xsi:type="dcterms:W3CDTF">2021-11-02T01:55:55Z</dcterms:modified>
  <dc:title>关于贯彻市纪委、市委组织部、市委宣传部《关于在全市党员领导干部中开展“廉洁奉公、执政为民”教育的意见》搞好我区教育的通知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2052-9.1.0.4842</vt:lpwstr>
  </property>
</Properties>
</file>