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宋体" w:hAnsi="宋体" w:cs="宋体"/>
          <w:sz w:val="32"/>
          <w:szCs w:val="32"/>
        </w:rPr>
        <w:t xml:space="preserve"> </w:t>
      </w:r>
      <w:r>
        <w:rPr>
          <w:rFonts w:hint="eastAsia" w:ascii="文星简大标宋" w:eastAsia="文星简大标宋"/>
          <w:sz w:val="84"/>
          <w:szCs w:val="84"/>
        </w:rPr>
        <w:t xml:space="preserve">    </w:t>
      </w:r>
    </w:p>
    <w:p>
      <w:pPr>
        <w:jc w:val="center"/>
        <w:rPr>
          <w:rFonts w:ascii="文星简大标宋" w:eastAsia="文星简大标宋"/>
          <w:sz w:val="84"/>
          <w:szCs w:val="84"/>
        </w:rPr>
      </w:pPr>
    </w:p>
    <w:p>
      <w:pPr>
        <w:jc w:val="center"/>
        <w:rPr>
          <w:rFonts w:ascii="文星简大标宋" w:eastAsia="文星简大标宋"/>
          <w:sz w:val="84"/>
          <w:szCs w:val="84"/>
        </w:rPr>
      </w:pPr>
    </w:p>
    <w:p>
      <w:pPr>
        <w:jc w:val="center"/>
        <w:rPr>
          <w:rFonts w:ascii="文星简大标宋" w:eastAsia="文星简大标宋"/>
          <w:sz w:val="84"/>
          <w:szCs w:val="84"/>
        </w:rPr>
      </w:pPr>
      <w:r>
        <w:rPr>
          <w:rFonts w:hint="eastAsia" w:ascii="文星简大标宋" w:eastAsia="文星简大标宋"/>
          <w:sz w:val="84"/>
          <w:szCs w:val="84"/>
        </w:rPr>
        <w:t>2020年度</w:t>
      </w:r>
    </w:p>
    <w:p>
      <w:pPr>
        <w:jc w:val="center"/>
        <w:rPr>
          <w:sz w:val="52"/>
          <w:szCs w:val="52"/>
        </w:rPr>
      </w:pPr>
      <w:r>
        <w:rPr>
          <w:rFonts w:hint="eastAsia" w:ascii="文星简大标宋" w:eastAsia="文星简大标宋"/>
          <w:sz w:val="84"/>
          <w:szCs w:val="84"/>
        </w:rPr>
        <w:t>青岛市市北区人民法院（本级）部门决算</w:t>
      </w:r>
    </w:p>
    <w:p/>
    <w:p/>
    <w:p/>
    <w:p/>
    <w:p/>
    <w:p/>
    <w:p/>
    <w:p/>
    <w:p/>
    <w:p/>
    <w:p/>
    <w:p>
      <w:pPr>
        <w:spacing w:line="580" w:lineRule="exact"/>
        <w:jc w:val="center"/>
        <w:rPr>
          <w:rFonts w:ascii="黑体" w:eastAsia="黑体"/>
          <w:sz w:val="44"/>
          <w:szCs w:val="44"/>
        </w:rPr>
      </w:pPr>
      <w:r>
        <w:br w:type="page"/>
      </w: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 部门概况</w:t>
      </w:r>
    </w:p>
    <w:p>
      <w:pPr>
        <w:spacing w:line="580" w:lineRule="exact"/>
        <w:ind w:left="640"/>
        <w:rPr>
          <w:rFonts w:ascii="黑体" w:eastAsia="黑体"/>
          <w:sz w:val="32"/>
          <w:szCs w:val="32"/>
        </w:rPr>
      </w:pPr>
      <w:r>
        <w:rPr>
          <w:rFonts w:hint="eastAsia" w:ascii="黑体" w:eastAsia="黑体"/>
          <w:sz w:val="32"/>
          <w:szCs w:val="32"/>
        </w:rPr>
        <w:t>一、部门职责</w:t>
      </w:r>
    </w:p>
    <w:p>
      <w:pPr>
        <w:spacing w:line="580" w:lineRule="exact"/>
        <w:ind w:left="640"/>
        <w:rPr>
          <w:rFonts w:ascii="黑体" w:eastAsia="黑体"/>
          <w:sz w:val="32"/>
          <w:szCs w:val="32"/>
        </w:rPr>
      </w:pPr>
      <w:r>
        <w:rPr>
          <w:rFonts w:hint="eastAsia" w:ascii="黑体" w:eastAsia="黑体"/>
          <w:sz w:val="32"/>
          <w:szCs w:val="32"/>
        </w:rPr>
        <w:t xml:space="preserve">二、机构设置 </w:t>
      </w:r>
    </w:p>
    <w:p>
      <w:pPr>
        <w:spacing w:line="580" w:lineRule="exact"/>
        <w:ind w:left="640"/>
        <w:rPr>
          <w:rFonts w:ascii="黑体" w:eastAsia="黑体"/>
          <w:sz w:val="32"/>
          <w:szCs w:val="32"/>
        </w:rPr>
      </w:pPr>
    </w:p>
    <w:p>
      <w:pPr>
        <w:spacing w:line="580" w:lineRule="exact"/>
        <w:rPr>
          <w:rFonts w:ascii="黑体" w:eastAsia="黑体"/>
          <w:sz w:val="36"/>
          <w:szCs w:val="36"/>
        </w:rPr>
      </w:pPr>
      <w:r>
        <w:rPr>
          <w:rFonts w:hint="eastAsia" w:ascii="黑体" w:eastAsia="黑体"/>
          <w:sz w:val="36"/>
          <w:szCs w:val="36"/>
        </w:rPr>
        <w:t>第二部分 2020年度部门决算表</w:t>
      </w:r>
    </w:p>
    <w:p>
      <w:pPr>
        <w:spacing w:line="580" w:lineRule="exact"/>
        <w:ind w:firstLine="640" w:firstLineChars="200"/>
        <w:rPr>
          <w:rFonts w:ascii="黑体" w:eastAsia="黑体"/>
          <w:sz w:val="32"/>
          <w:szCs w:val="32"/>
        </w:rPr>
      </w:pPr>
      <w:r>
        <w:rPr>
          <w:rFonts w:hint="eastAsia" w:ascii="黑体" w:eastAsia="黑体"/>
          <w:sz w:val="32"/>
          <w:szCs w:val="32"/>
        </w:rPr>
        <w:t>一、收入支出决算总表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二、收入决算表</w:t>
      </w:r>
    </w:p>
    <w:p>
      <w:pPr>
        <w:spacing w:line="580" w:lineRule="exact"/>
        <w:ind w:firstLine="640" w:firstLineChars="200"/>
        <w:rPr>
          <w:rFonts w:ascii="黑体" w:eastAsia="黑体"/>
          <w:sz w:val="32"/>
          <w:szCs w:val="32"/>
        </w:rPr>
      </w:pPr>
      <w:r>
        <w:rPr>
          <w:rFonts w:hint="eastAsia" w:ascii="黑体" w:eastAsia="黑体"/>
          <w:sz w:val="32"/>
          <w:szCs w:val="32"/>
        </w:rPr>
        <w:t>三、支出决算表</w:t>
      </w:r>
    </w:p>
    <w:p>
      <w:pPr>
        <w:spacing w:line="580" w:lineRule="exact"/>
        <w:ind w:firstLine="640" w:firstLineChars="200"/>
        <w:rPr>
          <w:rFonts w:ascii="黑体" w:eastAsia="黑体"/>
          <w:sz w:val="32"/>
          <w:szCs w:val="32"/>
        </w:rPr>
      </w:pPr>
      <w:r>
        <w:rPr>
          <w:rFonts w:hint="eastAsia" w:ascii="黑体" w:eastAsia="黑体"/>
          <w:sz w:val="32"/>
          <w:szCs w:val="32"/>
        </w:rPr>
        <w:t>四、财政拨款收入支出决算总表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五、一般公共预算财政拨款支出决算表</w:t>
      </w:r>
    </w:p>
    <w:p>
      <w:pPr>
        <w:spacing w:line="580" w:lineRule="exact"/>
        <w:ind w:firstLine="640" w:firstLineChars="200"/>
        <w:rPr>
          <w:rFonts w:ascii="黑体" w:eastAsia="黑体"/>
          <w:sz w:val="32"/>
          <w:szCs w:val="32"/>
        </w:rPr>
      </w:pPr>
      <w:r>
        <w:rPr>
          <w:rFonts w:hint="eastAsia" w:ascii="黑体" w:eastAsia="黑体"/>
          <w:sz w:val="32"/>
          <w:szCs w:val="32"/>
        </w:rPr>
        <w:t>六、一般公共预算财政拨款基本支出决算表</w:t>
      </w:r>
    </w:p>
    <w:p>
      <w:pPr>
        <w:spacing w:line="580" w:lineRule="exact"/>
        <w:ind w:firstLine="640" w:firstLineChars="200"/>
        <w:rPr>
          <w:rFonts w:ascii="黑体" w:eastAsia="黑体"/>
          <w:sz w:val="32"/>
          <w:szCs w:val="32"/>
        </w:rPr>
      </w:pPr>
      <w:r>
        <w:rPr>
          <w:rFonts w:hint="eastAsia" w:ascii="黑体" w:eastAsia="黑体"/>
          <w:sz w:val="32"/>
          <w:szCs w:val="32"/>
        </w:rPr>
        <w:t>七、一般公共预算财政拨款“三公”经费支出决算表</w:t>
      </w:r>
    </w:p>
    <w:p>
      <w:pPr>
        <w:spacing w:line="580" w:lineRule="exact"/>
        <w:ind w:firstLine="640" w:firstLineChars="200"/>
        <w:rPr>
          <w:rFonts w:ascii="黑体" w:eastAsia="黑体"/>
          <w:sz w:val="32"/>
          <w:szCs w:val="32"/>
        </w:rPr>
      </w:pPr>
      <w:r>
        <w:rPr>
          <w:rFonts w:hint="eastAsia" w:ascii="黑体" w:eastAsia="黑体"/>
          <w:sz w:val="32"/>
          <w:szCs w:val="32"/>
        </w:rPr>
        <w:t>八、政府性基金预算财政拨款收入支出决算表</w:t>
      </w:r>
    </w:p>
    <w:p>
      <w:pPr>
        <w:spacing w:line="580" w:lineRule="exact"/>
        <w:ind w:firstLine="640" w:firstLineChars="200"/>
        <w:rPr>
          <w:rFonts w:hint="eastAsia" w:ascii="黑体" w:eastAsia="黑体"/>
          <w:sz w:val="32"/>
          <w:szCs w:val="32"/>
        </w:rPr>
      </w:pPr>
      <w:r>
        <w:rPr>
          <w:rFonts w:hint="eastAsia" w:ascii="黑体" w:eastAsia="黑体"/>
          <w:sz w:val="32"/>
          <w:szCs w:val="32"/>
        </w:rPr>
        <w:t>九、国有资本经营预算财政拨款支出决算表</w:t>
      </w:r>
    </w:p>
    <w:p>
      <w:pPr>
        <w:spacing w:line="580" w:lineRule="exact"/>
        <w:ind w:firstLine="640" w:firstLineChars="200"/>
        <w:rPr>
          <w:rFonts w:hint="eastAsia" w:ascii="黑体" w:eastAsia="黑体"/>
          <w:sz w:val="32"/>
          <w:szCs w:val="32"/>
        </w:rPr>
      </w:pPr>
    </w:p>
    <w:p>
      <w:pPr>
        <w:spacing w:line="580" w:lineRule="exact"/>
        <w:ind w:left="1602" w:hanging="1602" w:hangingChars="445"/>
        <w:rPr>
          <w:rFonts w:ascii="黑体" w:eastAsia="黑体"/>
          <w:sz w:val="36"/>
          <w:szCs w:val="36"/>
        </w:rPr>
      </w:pPr>
      <w:r>
        <w:rPr>
          <w:rFonts w:hint="eastAsia" w:ascii="黑体" w:eastAsia="黑体"/>
          <w:sz w:val="36"/>
          <w:szCs w:val="36"/>
        </w:rPr>
        <w:t>第三部分 2020年度部门决算情况和重要事项说明</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r>
        <w:rPr>
          <w:rFonts w:hint="eastAsia" w:ascii="黑体" w:eastAsia="黑体"/>
          <w:sz w:val="36"/>
          <w:szCs w:val="36"/>
        </w:rPr>
        <w:t>第四部分 名词解释</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p>
    <w:p>
      <w:pPr>
        <w:ind w:left="1609" w:leftChars="766"/>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b/>
          <w:sz w:val="36"/>
          <w:szCs w:val="36"/>
        </w:rPr>
      </w:pPr>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snapToGrid w:val="0"/>
        <w:spacing w:line="300" w:lineRule="auto"/>
        <w:rPr>
          <w:rFonts w:ascii="黑体" w:hAnsi="黑体" w:eastAsia="黑体"/>
          <w:b/>
          <w:sz w:val="32"/>
          <w:szCs w:val="32"/>
        </w:rPr>
      </w:pPr>
      <w:r>
        <w:rPr>
          <w:rFonts w:hint="eastAsia" w:ascii="黑体" w:hAnsi="黑体" w:eastAsia="黑体"/>
          <w:b/>
          <w:sz w:val="32"/>
          <w:szCs w:val="32"/>
        </w:rPr>
        <w:t>一、主要职能</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青岛市市北区人民法院是国家审判机关，依法独立行使审判权，对市北区人民代表大会及其常务委员会负责并报告工作，接受市北区人大及其常委会的监督。主要职责是：</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（一）依法审判法律规定由基层人民法院管辖的刑事、民事、行政等第一审案件。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（二）依法审判由上级法院指定本院审判的刑事、民事、行政案件。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（三）依照法律监督程序</w:t>
      </w:r>
      <w:r>
        <w:rPr>
          <w:rFonts w:hint="eastAsia" w:ascii="仿宋" w:hAnsi="仿宋" w:eastAsia="仿宋" w:cs="宋体"/>
          <w:kern w:val="0"/>
          <w:sz w:val="32"/>
          <w:szCs w:val="32"/>
        </w:rPr>
        <w:t>,</w:t>
      </w:r>
      <w:r>
        <w:rPr>
          <w:rFonts w:hint="eastAsia" w:ascii="仿宋" w:hAnsi="仿宋" w:eastAsia="仿宋" w:cs="宋体"/>
          <w:kern w:val="0"/>
          <w:sz w:val="32"/>
          <w:szCs w:val="32"/>
          <w:lang w:val="zh-CN"/>
        </w:rPr>
        <w:t>审判刑事、民事、行政等再审案件。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（四）依法行使司法执行权和司法决定权。</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（五）依法决定国家赔偿。</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（六）依法执行上级法院指定和其他法院委托的各类案件。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（七）指导基层人民法庭的审判工作。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（八）调查研究审判工作中的法律政策问题及疑难问题，针对案件审理中发现的问题提出司法建议。</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九）组织实施对本院法官和其他工作人员的思想政治教育、专业培训；按照干部管理权限管理法官和其他工作人员；协助主管部门管理本院的机构、编制工作；抓好本院的领导班子建设和队伍建设；负责本院的奖惩工作。</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（十）负责本院的有关经费、物资装备和档案管理等司法行政工作。</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（十一）负责本院的法制宣传、新闻报道工作。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（十二）负责本院的监察工作。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（十三）结合审判工作实际，参与社会治安综合治理。</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（十四）按照权限管理本院所属的事业单位。</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（十五）承办应由本院负责的其他工作。</w:t>
      </w:r>
    </w:p>
    <w:p>
      <w:pPr>
        <w:autoSpaceDE w:val="0"/>
        <w:autoSpaceDN w:val="0"/>
        <w:adjustRightInd w:val="0"/>
        <w:spacing w:line="540" w:lineRule="exact"/>
        <w:ind w:firstLine="640" w:firstLineChars="200"/>
        <w:jc w:val="left"/>
        <w:rPr>
          <w:rFonts w:ascii="黑体" w:eastAsia="黑体"/>
          <w:sz w:val="32"/>
          <w:szCs w:val="32"/>
        </w:rPr>
      </w:pPr>
      <w:r>
        <w:rPr>
          <w:rFonts w:hint="eastAsia" w:ascii="黑体" w:hAnsi="黑体" w:eastAsia="黑体" w:cs="宋体"/>
          <w:bCs/>
          <w:kern w:val="0"/>
          <w:sz w:val="32"/>
          <w:szCs w:val="32"/>
          <w:lang w:val="zh-CN"/>
        </w:rPr>
        <w:t>二、</w:t>
      </w:r>
      <w:r>
        <w:rPr>
          <w:rFonts w:hint="eastAsia" w:ascii="黑体" w:eastAsia="黑体"/>
          <w:sz w:val="32"/>
          <w:szCs w:val="32"/>
        </w:rPr>
        <w:t>机构设置</w:t>
      </w:r>
    </w:p>
    <w:p>
      <w:pPr>
        <w:autoSpaceDE w:val="0"/>
        <w:autoSpaceDN w:val="0"/>
        <w:adjustRightInd w:val="0"/>
        <w:spacing w:line="540" w:lineRule="exact"/>
        <w:ind w:firstLine="640" w:firstLineChars="200"/>
        <w:jc w:val="left"/>
        <w:rPr>
          <w:rFonts w:ascii="黑体" w:hAnsi="黑体" w:eastAsia="黑体" w:cs="宋体"/>
          <w:bCs/>
          <w:kern w:val="0"/>
          <w:sz w:val="32"/>
          <w:szCs w:val="32"/>
          <w:lang w:val="zh-CN"/>
        </w:rPr>
      </w:pPr>
      <w:r>
        <w:rPr>
          <w:rFonts w:hint="eastAsia" w:ascii="黑体" w:eastAsia="黑体"/>
          <w:sz w:val="32"/>
          <w:szCs w:val="32"/>
        </w:rPr>
        <w:t>（一）</w:t>
      </w:r>
      <w:r>
        <w:rPr>
          <w:rFonts w:hint="eastAsia" w:ascii="黑体" w:hAnsi="黑体" w:eastAsia="黑体" w:cs="宋体"/>
          <w:bCs/>
          <w:kern w:val="0"/>
          <w:sz w:val="32"/>
          <w:szCs w:val="32"/>
          <w:lang w:val="zh-CN"/>
        </w:rPr>
        <w:t>内设机构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我院现有中央政法专项编制253名，内设机构为12个。其中：司法行政机构2个，审判辅助机构1个，审判业务机构9个。</w:t>
      </w:r>
    </w:p>
    <w:p>
      <w:pPr>
        <w:spacing w:line="60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1、综合办公室</w:t>
      </w:r>
    </w:p>
    <w:p>
      <w:pPr>
        <w:spacing w:line="580" w:lineRule="exact"/>
        <w:ind w:firstLine="640" w:firstLineChars="200"/>
        <w:rPr>
          <w:rFonts w:ascii="仿宋" w:hAnsi="仿宋" w:eastAsia="仿宋"/>
          <w:sz w:val="32"/>
          <w:szCs w:val="32"/>
        </w:rPr>
      </w:pPr>
      <w:r>
        <w:rPr>
          <w:rFonts w:hint="eastAsia" w:ascii="仿宋" w:hAnsi="仿宋" w:eastAsia="仿宋"/>
          <w:sz w:val="32"/>
        </w:rPr>
        <w:t>主要职责：</w:t>
      </w:r>
      <w:r>
        <w:rPr>
          <w:rFonts w:hint="eastAsia" w:ascii="仿宋" w:hAnsi="仿宋" w:eastAsia="仿宋"/>
          <w:sz w:val="32"/>
          <w:szCs w:val="32"/>
        </w:rPr>
        <w:t>协助院领导组织、协调、处理日常工作；负责院务会和院长办公会等重要会议的组织安排及决定事项的督办；负责人大代表、政协委员、执法监督员的联络工作，督办人大代表、政协委员建议提案；负责文秘、机要、保密、档案、图书等工作；负责微机网络等信息化管理和使用；负责外事活动安排和对外接待工作；负责专项物资装备的管理及分配；负责诉讼费的收缴、管理；管理各项经费和国有资产，监督直属事业单位的财产和国有资产，</w:t>
      </w:r>
      <w:r>
        <w:rPr>
          <w:rFonts w:hint="eastAsia" w:ascii="仿宋" w:hAnsi="仿宋" w:eastAsia="仿宋"/>
          <w:color w:val="000000"/>
          <w:sz w:val="32"/>
          <w:szCs w:val="32"/>
        </w:rPr>
        <w:t>拟定本院基础建设规划和计划并组织实施</w:t>
      </w:r>
      <w:r>
        <w:rPr>
          <w:rFonts w:hint="eastAsia" w:ascii="仿宋" w:hAnsi="仿宋" w:eastAsia="仿宋"/>
          <w:sz w:val="32"/>
          <w:szCs w:val="32"/>
        </w:rPr>
        <w:t>。</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2、政治部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本院的思想政治工作，协助院党组抓好党的建设工作；负责组织人事工作；负责法官等级和法警警衔评定与晋升工作；负责教育培训工作，制订并实施法官培训规划；负责干警的工作考核、表彰和评先创优工作；负责人民陪审员管理工作；负责干警的晋职晋级和工资调整;负责老干部工作；负责法官协会日常管理与协调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3、立案庭（诉讼服务中心）</w:t>
      </w:r>
    </w:p>
    <w:p>
      <w:pPr>
        <w:spacing w:line="560" w:lineRule="exact"/>
        <w:ind w:left="640"/>
        <w:rPr>
          <w:rFonts w:ascii="仿宋" w:hAnsi="仿宋" w:eastAsia="仿宋"/>
          <w:sz w:val="32"/>
        </w:rPr>
      </w:pPr>
      <w:r>
        <w:rPr>
          <w:rFonts w:hint="eastAsia" w:ascii="仿宋" w:hAnsi="仿宋" w:eastAsia="仿宋"/>
          <w:sz w:val="32"/>
        </w:rPr>
        <w:t>整合立案一庭职能，设立立案庭（诉讼服务中心）。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主要职责：负责对本院依法受理的各类案件进行登记立案、排期、送达和审判流程管理；负责诉前调解、诉前保全、案件速裁等工作；负责与提供诉讼服务相关的其他工作；负责诉调对接工作。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4、申诉信访庭</w:t>
      </w:r>
    </w:p>
    <w:p>
      <w:pPr>
        <w:spacing w:line="580" w:lineRule="exact"/>
        <w:ind w:left="640"/>
        <w:rPr>
          <w:rFonts w:ascii="仿宋" w:hAnsi="仿宋" w:eastAsia="仿宋"/>
          <w:sz w:val="32"/>
          <w:szCs w:val="32"/>
        </w:rPr>
      </w:pPr>
      <w:r>
        <w:rPr>
          <w:rFonts w:hint="eastAsia" w:ascii="仿宋" w:hAnsi="仿宋" w:eastAsia="仿宋"/>
          <w:sz w:val="32"/>
          <w:szCs w:val="32"/>
        </w:rPr>
        <w:t>整合立案二庭、审判监督庭职能，设立申诉信访庭。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主要职责：对不服本院的生效裁判提出的各类申诉以及再审申请进行审查；审判本院各类再审案件；负责本院的信访工作。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5、刑事审判庭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主要职责：依法审理由本院管辖的一审刑事公诉案件、刑事自诉案件；审理上级法院指定管辖的刑事案件；负责未成年人犯罪案件和涉及未成年人权益保护案件。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6、民事审判一庭</w:t>
      </w:r>
    </w:p>
    <w:p>
      <w:pPr>
        <w:spacing w:line="600" w:lineRule="exact"/>
        <w:ind w:left="640"/>
        <w:rPr>
          <w:rFonts w:ascii="仿宋" w:hAnsi="仿宋" w:eastAsia="仿宋"/>
          <w:sz w:val="32"/>
          <w:szCs w:val="32"/>
        </w:rPr>
      </w:pPr>
      <w:r>
        <w:rPr>
          <w:rFonts w:hint="eastAsia" w:ascii="仿宋" w:hAnsi="仿宋" w:eastAsia="仿宋"/>
          <w:sz w:val="32"/>
          <w:szCs w:val="32"/>
        </w:rPr>
        <w:t>整合民事审判第一庭、民事审判第五庭的职能，设立民</w:t>
      </w:r>
    </w:p>
    <w:p>
      <w:pPr>
        <w:spacing w:line="600" w:lineRule="exact"/>
        <w:rPr>
          <w:rFonts w:ascii="仿宋" w:hAnsi="仿宋" w:eastAsia="仿宋"/>
          <w:sz w:val="32"/>
          <w:szCs w:val="32"/>
        </w:rPr>
      </w:pPr>
      <w:r>
        <w:rPr>
          <w:rFonts w:hint="eastAsia" w:ascii="仿宋" w:hAnsi="仿宋" w:eastAsia="仿宋"/>
          <w:sz w:val="32"/>
          <w:szCs w:val="32"/>
        </w:rPr>
        <w:t>事审判一庭。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主要职责：依法审判第一审婚姻家庭、房地产、劳动争议案件;</w:t>
      </w:r>
      <w:r>
        <w:rPr>
          <w:rFonts w:hint="eastAsia" w:ascii="仿宋" w:hAnsi="仿宋" w:eastAsia="仿宋"/>
          <w:color w:val="000000"/>
          <w:sz w:val="32"/>
          <w:szCs w:val="32"/>
        </w:rPr>
        <w:t>指导人民法庭民事审判工作。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7、民事审判二庭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整合民事审判第二庭、三庭的职能，设立民事审判二庭。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主要职责：依法审判由本院管辖的第一审合同、票据、知识产权、企业申请破产、重整、和解与清算、证券、票据纠纷、债权债务等纠纷案件。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8、民事审判三庭</w:t>
      </w:r>
    </w:p>
    <w:p>
      <w:pPr>
        <w:spacing w:line="600" w:lineRule="exact"/>
        <w:ind w:left="640"/>
        <w:rPr>
          <w:rFonts w:ascii="仿宋" w:hAnsi="仿宋" w:eastAsia="仿宋"/>
          <w:sz w:val="32"/>
          <w:szCs w:val="32"/>
        </w:rPr>
      </w:pPr>
      <w:r>
        <w:rPr>
          <w:rFonts w:hint="eastAsia" w:ascii="仿宋" w:hAnsi="仿宋" w:eastAsia="仿宋"/>
          <w:sz w:val="32"/>
          <w:szCs w:val="32"/>
        </w:rPr>
        <w:t>整合民事审判第四庭的职能，设立民事审判三庭。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主要职责：依法审判第一审医疗、交通事故赔偿和其他人身权、损害赔偿、特殊侵权等纠纷案件。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9、行政审判庭（综合审判庭）</w:t>
      </w:r>
    </w:p>
    <w:p>
      <w:pPr>
        <w:spacing w:line="600" w:lineRule="exact"/>
        <w:ind w:left="640"/>
        <w:rPr>
          <w:rFonts w:ascii="仿宋" w:hAnsi="仿宋" w:eastAsia="仿宋"/>
          <w:sz w:val="32"/>
          <w:szCs w:val="32"/>
        </w:rPr>
      </w:pPr>
      <w:r>
        <w:rPr>
          <w:rFonts w:hint="eastAsia" w:ascii="仿宋" w:hAnsi="仿宋" w:eastAsia="仿宋"/>
          <w:sz w:val="32"/>
          <w:szCs w:val="32"/>
        </w:rPr>
        <w:t>整合行政审判庭、赔偿办的职能，设立行政审判庭（综</w:t>
      </w:r>
    </w:p>
    <w:p>
      <w:pPr>
        <w:spacing w:line="600" w:lineRule="exact"/>
        <w:rPr>
          <w:rFonts w:ascii="仿宋" w:hAnsi="仿宋" w:eastAsia="仿宋"/>
          <w:sz w:val="32"/>
          <w:szCs w:val="32"/>
        </w:rPr>
      </w:pPr>
      <w:r>
        <w:rPr>
          <w:rFonts w:hint="eastAsia" w:ascii="仿宋" w:hAnsi="仿宋" w:eastAsia="仿宋"/>
          <w:sz w:val="32"/>
          <w:szCs w:val="32"/>
        </w:rPr>
        <w:t>合审判庭）。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主要职责：依法审判第一审行政案件;审查行政机关申请人民法院强制执行案件;办理国家赔偿案件;负责司法救助工作；提出有关行政审判司法建议,办理其他有关的行政审判工作事宜。</w:t>
      </w:r>
    </w:p>
    <w:p>
      <w:pPr>
        <w:spacing w:line="58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10、执行局</w:t>
      </w:r>
    </w:p>
    <w:p>
      <w:pPr>
        <w:spacing w:line="600" w:lineRule="exact"/>
        <w:ind w:left="640"/>
        <w:rPr>
          <w:rFonts w:ascii="仿宋" w:hAnsi="仿宋" w:eastAsia="仿宋"/>
          <w:sz w:val="32"/>
          <w:szCs w:val="32"/>
        </w:rPr>
      </w:pPr>
      <w:r>
        <w:rPr>
          <w:rFonts w:hint="eastAsia" w:ascii="仿宋" w:hAnsi="仿宋" w:eastAsia="仿宋"/>
          <w:sz w:val="32"/>
          <w:szCs w:val="32"/>
        </w:rPr>
        <w:t>整合执行一庭、执行二庭的职能，设立执行局。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执行人民法院第一审案件的生效判决、裁定及调解协议中关于财产的决定；执行法律规定由人民法院执行的其他法律文书；执行上级法院指定执行和外地法院委托执行的案件；负责执行异议案件；负责执行案件和执行信访案件的统计、报表和登记、转办等工作；负责执行信息系统管理工作等。</w:t>
      </w:r>
      <w:r>
        <w:rPr>
          <w:rFonts w:ascii="仿宋" w:hAnsi="仿宋" w:eastAsia="仿宋"/>
          <w:sz w:val="32"/>
          <w:szCs w:val="32"/>
        </w:rPr>
        <w:t xml:space="preserve"> </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11、审判管理办公室（研究室）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整合研究室、审判管理办公室的职能，设立审判管理办公室（研究室）。</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办理审判委员会会务；负责组织调查研究，总结推广典型经验；承办适用法律政策问题的请示或解答；负责编写综合信息，起草重要的综合性文件、讲话、报告；研究和征集对地方性法规、规章草案的意见；负责司法统计与分析。</w:t>
      </w:r>
    </w:p>
    <w:p>
      <w:pPr>
        <w:spacing w:line="580" w:lineRule="exact"/>
        <w:ind w:firstLine="641" w:firstLineChars="200"/>
        <w:rPr>
          <w:rFonts w:ascii="华文楷体" w:hAnsi="华文楷体" w:eastAsia="华文楷体" w:cs="楷体"/>
          <w:b/>
          <w:color w:val="000000"/>
          <w:sz w:val="32"/>
          <w:szCs w:val="32"/>
        </w:rPr>
      </w:pPr>
      <w:r>
        <w:rPr>
          <w:rFonts w:hint="eastAsia" w:ascii="华文楷体" w:hAnsi="华文楷体" w:eastAsia="华文楷体" w:cs="楷体"/>
          <w:b/>
          <w:color w:val="000000"/>
          <w:sz w:val="32"/>
          <w:szCs w:val="32"/>
        </w:rPr>
        <w:t>12、</w:t>
      </w:r>
      <w:r>
        <w:rPr>
          <w:rFonts w:hint="eastAsia" w:ascii="华文楷体" w:hAnsi="华文楷体" w:eastAsia="华文楷体" w:cs="楷体"/>
          <w:b/>
          <w:sz w:val="32"/>
          <w:szCs w:val="32"/>
        </w:rPr>
        <w:t xml:space="preserve">司法警察大队 </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主要职责：负责警卫法庭、押解、看管人犯，协助和配合审判庭和执行局有关执行工作；负责维护院机关的秩序及安全保卫等工作。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机关党委。负责本院机关及所属事业单位的党群工作。</w:t>
      </w:r>
    </w:p>
    <w:p>
      <w:pPr>
        <w:spacing w:line="600" w:lineRule="exact"/>
        <w:ind w:firstLine="640" w:firstLineChars="200"/>
        <w:rPr>
          <w:rFonts w:ascii="仿宋" w:hAnsi="仿宋" w:eastAsia="仿宋"/>
          <w:sz w:val="32"/>
        </w:rPr>
      </w:pPr>
      <w:r>
        <w:rPr>
          <w:rFonts w:hint="eastAsia" w:ascii="仿宋" w:hAnsi="仿宋" w:eastAsia="仿宋"/>
          <w:sz w:val="32"/>
          <w:szCs w:val="32"/>
        </w:rPr>
        <w:t>此外，</w:t>
      </w:r>
      <w:r>
        <w:rPr>
          <w:rFonts w:hint="eastAsia" w:ascii="仿宋" w:hAnsi="仿宋" w:eastAsia="仿宋"/>
          <w:sz w:val="32"/>
        </w:rPr>
        <w:t>纪检监察机构按照中央有关规定设置。</w:t>
      </w:r>
    </w:p>
    <w:p>
      <w:pPr>
        <w:autoSpaceDE w:val="0"/>
        <w:autoSpaceDN w:val="0"/>
        <w:adjustRightInd w:val="0"/>
        <w:spacing w:line="54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（二）派出机构</w:t>
      </w:r>
    </w:p>
    <w:p>
      <w:pPr>
        <w:ind w:firstLine="640" w:firstLineChars="200"/>
        <w:rPr>
          <w:rFonts w:ascii="仿宋" w:hAnsi="仿宋" w:eastAsia="仿宋"/>
          <w:sz w:val="32"/>
          <w:szCs w:val="32"/>
        </w:rPr>
      </w:pPr>
      <w:r>
        <w:rPr>
          <w:rFonts w:hint="eastAsia" w:ascii="仿宋" w:hAnsi="仿宋" w:eastAsia="仿宋"/>
          <w:sz w:val="32"/>
          <w:szCs w:val="32"/>
        </w:rPr>
        <w:t>按照有关规定，</w:t>
      </w:r>
      <w:r>
        <w:rPr>
          <w:rFonts w:hint="eastAsia" w:ascii="仿宋" w:hAnsi="仿宋" w:eastAsia="仿宋"/>
          <w:sz w:val="32"/>
        </w:rPr>
        <w:t>派出人民法庭不纳入内设机构改革范围。</w:t>
      </w:r>
      <w:r>
        <w:rPr>
          <w:rFonts w:hint="eastAsia" w:ascii="仿宋" w:hAnsi="仿宋" w:eastAsia="仿宋"/>
          <w:sz w:val="32"/>
          <w:szCs w:val="32"/>
        </w:rPr>
        <w:t>设置青岛市市北区人民法院海琴人民法庭、青岛市市北区人民法院海云人民法庭、青岛市市北区人民法院延安路人民法庭、青岛市市北区人民法院浮山新区人民法庭、青岛市市北区人民法院水清人民法庭、青岛市市北区人民法院海伦人民法庭、青岛市市北区人民法院双山人民法庭、青岛市市北区人民法院台东人民法庭、青岛市市北区人民法院中央商务区人民法庭、青岛市市北区人民法院滨海人民法庭等10个派出机构。</w:t>
      </w:r>
    </w:p>
    <w:p>
      <w:pPr>
        <w:snapToGrid w:val="0"/>
        <w:ind w:firstLine="645"/>
        <w:rPr>
          <w:rFonts w:ascii="仿宋" w:hAnsi="仿宋" w:eastAsia="仿宋"/>
          <w:sz w:val="32"/>
          <w:szCs w:val="32"/>
        </w:rPr>
      </w:pPr>
    </w:p>
    <w:p>
      <w:pPr>
        <w:snapToGrid w:val="0"/>
        <w:ind w:firstLine="645"/>
        <w:rPr>
          <w:rFonts w:ascii="仿宋" w:hAnsi="仿宋" w:eastAsia="仿宋"/>
          <w:sz w:val="32"/>
          <w:szCs w:val="32"/>
        </w:rPr>
      </w:pPr>
      <w:r>
        <w:rPr>
          <w:rFonts w:hint="eastAsia" w:ascii="仿宋" w:hAnsi="仿宋" w:eastAsia="仿宋"/>
          <w:sz w:val="32"/>
          <w:szCs w:val="32"/>
        </w:rPr>
        <w:t>主要职责：依法审判本地区的第一审民事案件；参与本地区的社会治安工作及突发事件的处理；搞好本地区的法制宣传教育；负责指导本地区的人民调解委员会的工作；承办本院及上级法院交办的其他事项。</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(三)法院下属经费自理事业单位：</w:t>
      </w:r>
    </w:p>
    <w:p>
      <w:pPr>
        <w:spacing w:line="580" w:lineRule="exact"/>
        <w:ind w:firstLine="640" w:firstLineChars="200"/>
        <w:rPr>
          <w:rFonts w:ascii="仿宋_GB2312" w:hAnsi="宋体" w:eastAsia="仿宋_GB2312" w:cs="Courier New"/>
          <w:sz w:val="32"/>
          <w:szCs w:val="32"/>
        </w:rPr>
      </w:pPr>
      <w:r>
        <w:rPr>
          <w:rFonts w:hint="eastAsia" w:ascii="仿宋" w:hAnsi="仿宋" w:eastAsia="仿宋"/>
          <w:sz w:val="32"/>
          <w:szCs w:val="32"/>
        </w:rPr>
        <w:t>青岛市市北区人民法院司法鉴定委托管理中心系青岛市市北区人民法院下属经费自理事业单位，其主要职责是负责对外委托鉴定、评估、审计、拍卖。其经费项目由青岛市市北区人民法院列支。该单位财务不实行独立核算，不单独编制部门预、决算。</w:t>
      </w: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ind w:left="1041" w:leftChars="372" w:hanging="260" w:hangingChars="50"/>
        <w:jc w:val="center"/>
        <w:rPr>
          <w:rFonts w:ascii="黑体" w:eastAsia="黑体"/>
          <w:sz w:val="52"/>
          <w:szCs w:val="52"/>
        </w:rPr>
      </w:pPr>
      <w:r>
        <w:rPr>
          <w:rFonts w:hint="eastAsia" w:ascii="黑体" w:eastAsia="黑体"/>
          <w:sz w:val="52"/>
          <w:szCs w:val="52"/>
        </w:rPr>
        <w:t>2020年度部门决算表</w:t>
      </w:r>
    </w:p>
    <w:p>
      <w:pPr>
        <w:ind w:left="1041" w:leftChars="372" w:hanging="260" w:hangingChars="50"/>
        <w:jc w:val="center"/>
        <w:rPr>
          <w:rFonts w:ascii="黑体" w:eastAsia="黑体"/>
          <w:sz w:val="52"/>
          <w:szCs w:val="52"/>
        </w:rPr>
      </w:pPr>
    </w:p>
    <w:p>
      <w:pPr>
        <w:rPr>
          <w:rFonts w:ascii="黑体" w:eastAsia="黑体"/>
          <w:b/>
          <w:sz w:val="30"/>
          <w:szCs w:val="30"/>
        </w:rPr>
      </w:pPr>
    </w:p>
    <w:p>
      <w:pPr>
        <w:spacing w:line="580" w:lineRule="exact"/>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tbl>
      <w:tblPr>
        <w:tblStyle w:val="7"/>
        <w:tblW w:w="10259" w:type="dxa"/>
        <w:tblInd w:w="-885" w:type="dxa"/>
        <w:tblLayout w:type="fixed"/>
        <w:tblCellMar>
          <w:top w:w="0" w:type="dxa"/>
          <w:left w:w="108" w:type="dxa"/>
          <w:bottom w:w="0" w:type="dxa"/>
          <w:right w:w="108" w:type="dxa"/>
        </w:tblCellMar>
      </w:tblPr>
      <w:tblGrid>
        <w:gridCol w:w="2978"/>
        <w:gridCol w:w="572"/>
        <w:gridCol w:w="1616"/>
        <w:gridCol w:w="2395"/>
        <w:gridCol w:w="369"/>
        <w:gridCol w:w="295"/>
        <w:gridCol w:w="414"/>
        <w:gridCol w:w="1620"/>
      </w:tblGrid>
      <w:tr>
        <w:tblPrEx>
          <w:tblLayout w:type="fixed"/>
          <w:tblCellMar>
            <w:top w:w="0" w:type="dxa"/>
            <w:left w:w="108" w:type="dxa"/>
            <w:bottom w:w="0" w:type="dxa"/>
            <w:right w:w="108" w:type="dxa"/>
          </w:tblCellMar>
        </w:tblPrEx>
        <w:trPr>
          <w:trHeight w:val="510" w:hRule="atLeast"/>
        </w:trPr>
        <w:tc>
          <w:tcPr>
            <w:tcW w:w="10259" w:type="dxa"/>
            <w:gridSpan w:val="8"/>
            <w:tcBorders>
              <w:top w:val="nil"/>
              <w:left w:val="nil"/>
              <w:bottom w:val="nil"/>
              <w:right w:val="nil"/>
            </w:tcBorders>
            <w:shd w:val="clear" w:color="000000" w:fill="FFFFFF"/>
            <w:vAlign w:val="center"/>
          </w:tcPr>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收入支出决算总表</w:t>
            </w:r>
          </w:p>
        </w:tc>
      </w:tr>
      <w:tr>
        <w:tblPrEx>
          <w:tblLayout w:type="fixed"/>
          <w:tblCellMar>
            <w:top w:w="0" w:type="dxa"/>
            <w:left w:w="108" w:type="dxa"/>
            <w:bottom w:w="0" w:type="dxa"/>
            <w:right w:w="108" w:type="dxa"/>
          </w:tblCellMar>
        </w:tblPrEx>
        <w:trPr>
          <w:trHeight w:val="270" w:hRule="atLeast"/>
        </w:trPr>
        <w:tc>
          <w:tcPr>
            <w:tcW w:w="2978" w:type="dxa"/>
            <w:tcBorders>
              <w:top w:val="nil"/>
              <w:left w:val="nil"/>
              <w:bottom w:val="nil"/>
              <w:right w:val="nil"/>
            </w:tcBorders>
            <w:shd w:val="clear" w:color="000000" w:fill="FFFFFF"/>
            <w:vAlign w:val="center"/>
          </w:tcPr>
          <w:p>
            <w:pPr>
              <w:widowControl/>
              <w:jc w:val="left"/>
              <w:rPr>
                <w:rFonts w:cs="Tahoma" w:asciiTheme="majorEastAsia" w:hAnsiTheme="majorEastAsia" w:eastAsiaTheme="majorEastAsia"/>
                <w:b/>
                <w:kern w:val="0"/>
                <w:sz w:val="16"/>
                <w:szCs w:val="16"/>
              </w:rPr>
            </w:pPr>
            <w:r>
              <w:rPr>
                <w:rFonts w:cs="Tahoma" w:asciiTheme="majorEastAsia" w:hAnsiTheme="majorEastAsia" w:eastAsiaTheme="majorEastAsia"/>
                <w:b/>
                <w:kern w:val="0"/>
                <w:sz w:val="16"/>
                <w:szCs w:val="16"/>
              </w:rPr>
              <w:t>　</w:t>
            </w:r>
          </w:p>
        </w:tc>
        <w:tc>
          <w:tcPr>
            <w:tcW w:w="572" w:type="dxa"/>
            <w:tcBorders>
              <w:top w:val="nil"/>
              <w:left w:val="nil"/>
              <w:bottom w:val="nil"/>
              <w:right w:val="nil"/>
            </w:tcBorders>
            <w:shd w:val="clear" w:color="000000" w:fill="FFFFFF"/>
            <w:vAlign w:val="center"/>
          </w:tcPr>
          <w:p>
            <w:pPr>
              <w:widowControl/>
              <w:jc w:val="left"/>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　</w:t>
            </w:r>
          </w:p>
        </w:tc>
        <w:tc>
          <w:tcPr>
            <w:tcW w:w="1616" w:type="dxa"/>
            <w:tcBorders>
              <w:top w:val="nil"/>
              <w:left w:val="nil"/>
              <w:bottom w:val="nil"/>
              <w:right w:val="nil"/>
            </w:tcBorders>
            <w:shd w:val="clear" w:color="000000" w:fill="FFFFFF"/>
            <w:vAlign w:val="center"/>
          </w:tcPr>
          <w:p>
            <w:pPr>
              <w:widowControl/>
              <w:jc w:val="left"/>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　</w:t>
            </w:r>
          </w:p>
        </w:tc>
        <w:tc>
          <w:tcPr>
            <w:tcW w:w="2395" w:type="dxa"/>
            <w:tcBorders>
              <w:top w:val="nil"/>
              <w:left w:val="nil"/>
              <w:bottom w:val="nil"/>
              <w:right w:val="nil"/>
            </w:tcBorders>
            <w:shd w:val="clear" w:color="000000" w:fill="FFFFFF"/>
            <w:vAlign w:val="center"/>
          </w:tcPr>
          <w:p>
            <w:pPr>
              <w:widowControl/>
              <w:jc w:val="left"/>
              <w:rPr>
                <w:rFonts w:cs="宋体" w:asciiTheme="majorEastAsia" w:hAnsiTheme="majorEastAsia" w:eastAsiaTheme="majorEastAsia"/>
                <w:b/>
                <w:kern w:val="0"/>
                <w:sz w:val="18"/>
                <w:szCs w:val="18"/>
              </w:rPr>
            </w:pPr>
          </w:p>
        </w:tc>
        <w:tc>
          <w:tcPr>
            <w:tcW w:w="664" w:type="dxa"/>
            <w:gridSpan w:val="2"/>
            <w:tcBorders>
              <w:top w:val="nil"/>
              <w:left w:val="nil"/>
              <w:bottom w:val="nil"/>
              <w:right w:val="nil"/>
            </w:tcBorders>
            <w:shd w:val="clear" w:color="000000" w:fill="FFFFFF"/>
            <w:vAlign w:val="center"/>
          </w:tcPr>
          <w:p>
            <w:pPr>
              <w:widowControl/>
              <w:jc w:val="left"/>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　</w:t>
            </w:r>
          </w:p>
        </w:tc>
        <w:tc>
          <w:tcPr>
            <w:tcW w:w="2034" w:type="dxa"/>
            <w:gridSpan w:val="2"/>
            <w:tcBorders>
              <w:top w:val="nil"/>
              <w:left w:val="nil"/>
              <w:bottom w:val="nil"/>
              <w:right w:val="nil"/>
            </w:tcBorders>
            <w:shd w:val="clear" w:color="000000" w:fill="FFFFFF"/>
            <w:vAlign w:val="center"/>
          </w:tcPr>
          <w:p>
            <w:pPr>
              <w:widowControl/>
              <w:jc w:val="right"/>
              <w:rPr>
                <w:rFonts w:cs="宋体" w:asciiTheme="majorEastAsia" w:hAnsiTheme="majorEastAsia" w:eastAsiaTheme="majorEastAsia"/>
                <w:b/>
                <w:color w:val="000000"/>
                <w:kern w:val="0"/>
                <w:sz w:val="22"/>
                <w:szCs w:val="22"/>
              </w:rPr>
            </w:pPr>
            <w:r>
              <w:rPr>
                <w:rFonts w:hint="eastAsia" w:cs="宋体" w:asciiTheme="majorEastAsia" w:hAnsiTheme="majorEastAsia" w:eastAsiaTheme="majorEastAsia"/>
                <w:b/>
                <w:color w:val="000000"/>
                <w:kern w:val="0"/>
                <w:sz w:val="22"/>
                <w:szCs w:val="22"/>
              </w:rPr>
              <w:t>公开01表</w:t>
            </w:r>
          </w:p>
        </w:tc>
      </w:tr>
      <w:tr>
        <w:tblPrEx>
          <w:tblLayout w:type="fixed"/>
          <w:tblCellMar>
            <w:top w:w="0" w:type="dxa"/>
            <w:left w:w="108" w:type="dxa"/>
            <w:bottom w:w="0" w:type="dxa"/>
            <w:right w:w="108" w:type="dxa"/>
          </w:tblCellMar>
        </w:tblPrEx>
        <w:trPr>
          <w:trHeight w:val="285" w:hRule="atLeast"/>
        </w:trPr>
        <w:tc>
          <w:tcPr>
            <w:tcW w:w="3550" w:type="dxa"/>
            <w:gridSpan w:val="2"/>
            <w:tcBorders>
              <w:top w:val="nil"/>
              <w:left w:val="nil"/>
              <w:bottom w:val="single" w:color="auto" w:sz="4" w:space="0"/>
              <w:right w:val="nil"/>
            </w:tcBorders>
            <w:shd w:val="clear" w:color="000000" w:fill="FFFFFF"/>
            <w:vAlign w:val="center"/>
          </w:tcPr>
          <w:p>
            <w:pPr>
              <w:widowControl/>
              <w:jc w:val="left"/>
              <w:rPr>
                <w:rFonts w:cs="宋体" w:asciiTheme="majorEastAsia" w:hAnsiTheme="majorEastAsia" w:eastAsiaTheme="majorEastAsia"/>
                <w:b/>
                <w:kern w:val="0"/>
                <w:sz w:val="20"/>
                <w:szCs w:val="20"/>
              </w:rPr>
            </w:pPr>
            <w:r>
              <w:rPr>
                <w:rFonts w:hint="eastAsia" w:cs="宋体" w:asciiTheme="majorEastAsia" w:hAnsiTheme="majorEastAsia" w:eastAsiaTheme="majorEastAsia"/>
                <w:b/>
                <w:kern w:val="0"/>
                <w:sz w:val="20"/>
                <w:szCs w:val="20"/>
              </w:rPr>
              <w:t>部门：青岛市市北区人民法院(本级)</w:t>
            </w:r>
          </w:p>
        </w:tc>
        <w:tc>
          <w:tcPr>
            <w:tcW w:w="1616" w:type="dxa"/>
            <w:tcBorders>
              <w:top w:val="nil"/>
              <w:left w:val="nil"/>
              <w:bottom w:val="single" w:color="auto" w:sz="4" w:space="0"/>
              <w:right w:val="nil"/>
            </w:tcBorders>
            <w:shd w:val="clear" w:color="000000" w:fill="FFFFFF"/>
            <w:vAlign w:val="center"/>
          </w:tcPr>
          <w:p>
            <w:pPr>
              <w:widowControl/>
              <w:jc w:val="center"/>
              <w:rPr>
                <w:rFonts w:cs="宋体" w:asciiTheme="majorEastAsia" w:hAnsiTheme="majorEastAsia" w:eastAsiaTheme="majorEastAsia"/>
                <w:b/>
                <w:color w:val="000000"/>
                <w:kern w:val="0"/>
                <w:sz w:val="24"/>
              </w:rPr>
            </w:pPr>
          </w:p>
        </w:tc>
        <w:tc>
          <w:tcPr>
            <w:tcW w:w="2395" w:type="dxa"/>
            <w:tcBorders>
              <w:top w:val="nil"/>
              <w:left w:val="nil"/>
              <w:bottom w:val="single" w:color="auto" w:sz="4" w:space="0"/>
              <w:right w:val="nil"/>
            </w:tcBorders>
            <w:shd w:val="clear" w:color="000000" w:fill="FFFFFF"/>
            <w:vAlign w:val="center"/>
          </w:tcPr>
          <w:p>
            <w:pPr>
              <w:widowControl/>
              <w:jc w:val="left"/>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　</w:t>
            </w:r>
            <w:r>
              <w:rPr>
                <w:rFonts w:hint="eastAsia" w:cs="宋体" w:asciiTheme="majorEastAsia" w:hAnsiTheme="majorEastAsia" w:eastAsiaTheme="majorEastAsia"/>
                <w:b/>
                <w:color w:val="000000"/>
                <w:kern w:val="0"/>
                <w:sz w:val="24"/>
              </w:rPr>
              <w:t>2020年度</w:t>
            </w:r>
          </w:p>
        </w:tc>
        <w:tc>
          <w:tcPr>
            <w:tcW w:w="664" w:type="dxa"/>
            <w:gridSpan w:val="2"/>
            <w:tcBorders>
              <w:top w:val="nil"/>
              <w:left w:val="nil"/>
              <w:bottom w:val="single" w:color="auto" w:sz="4" w:space="0"/>
              <w:right w:val="nil"/>
            </w:tcBorders>
            <w:shd w:val="clear" w:color="000000" w:fill="FFFFFF"/>
            <w:vAlign w:val="center"/>
          </w:tcPr>
          <w:p>
            <w:pPr>
              <w:widowControl/>
              <w:jc w:val="left"/>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　</w:t>
            </w:r>
          </w:p>
        </w:tc>
        <w:tc>
          <w:tcPr>
            <w:tcW w:w="2034" w:type="dxa"/>
            <w:gridSpan w:val="2"/>
            <w:tcBorders>
              <w:top w:val="nil"/>
              <w:left w:val="nil"/>
              <w:bottom w:val="single" w:color="auto" w:sz="4" w:space="0"/>
              <w:right w:val="nil"/>
            </w:tcBorders>
            <w:shd w:val="clear" w:color="000000" w:fill="FFFFFF"/>
            <w:vAlign w:val="center"/>
          </w:tcPr>
          <w:p>
            <w:pPr>
              <w:widowControl/>
              <w:jc w:val="right"/>
              <w:rPr>
                <w:rFonts w:cs="宋体" w:asciiTheme="majorEastAsia" w:hAnsiTheme="majorEastAsia" w:eastAsiaTheme="majorEastAsia"/>
                <w:b/>
                <w:color w:val="000000"/>
                <w:kern w:val="0"/>
                <w:sz w:val="22"/>
                <w:szCs w:val="22"/>
              </w:rPr>
            </w:pPr>
            <w:r>
              <w:rPr>
                <w:rFonts w:hint="eastAsia" w:cs="宋体" w:asciiTheme="majorEastAsia" w:hAnsiTheme="majorEastAsia" w:eastAsiaTheme="majorEastAsia"/>
                <w:b/>
                <w:color w:val="000000"/>
                <w:kern w:val="0"/>
                <w:sz w:val="22"/>
                <w:szCs w:val="22"/>
              </w:rPr>
              <w:t>金额单位：元</w:t>
            </w:r>
          </w:p>
        </w:tc>
      </w:tr>
      <w:tr>
        <w:tblPrEx>
          <w:tblLayout w:type="fixed"/>
          <w:tblCellMar>
            <w:top w:w="0" w:type="dxa"/>
            <w:left w:w="108" w:type="dxa"/>
            <w:bottom w:w="0" w:type="dxa"/>
            <w:right w:w="108" w:type="dxa"/>
          </w:tblCellMar>
        </w:tblPrEx>
        <w:trPr>
          <w:trHeight w:val="315" w:hRule="atLeast"/>
        </w:trPr>
        <w:tc>
          <w:tcPr>
            <w:tcW w:w="51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收入</w:t>
            </w:r>
          </w:p>
        </w:tc>
        <w:tc>
          <w:tcPr>
            <w:tcW w:w="5093"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支出</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c>
          <w:tcPr>
            <w:tcW w:w="16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96,399,993.14</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四、上级补助收入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93,583,040.76</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五、事业收入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六、经营收入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七、附属单位上缴收入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七、文化旅游体育与传媒支出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八、其他收入</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3,497,950.88</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九、卫生健康支出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十四、资源勘探工业信息等支出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十八、自然资源海洋气象等支出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二十一、国有资本经营预算支出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二十二、灾害防治及应急管理支出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二十三、其他支出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二十四、债务还本支出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二十五、债务付息支出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二十六、抗疫特别国债安排的支出</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572" w:type="dxa"/>
            <w:tcBorders>
              <w:top w:val="nil"/>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16"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96,399,993.14</w:t>
            </w:r>
          </w:p>
        </w:tc>
        <w:tc>
          <w:tcPr>
            <w:tcW w:w="2764"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97,080,991.64</w:t>
            </w:r>
          </w:p>
        </w:tc>
      </w:tr>
      <w:tr>
        <w:tblPrEx>
          <w:tblLayout w:type="fixed"/>
          <w:tblCellMar>
            <w:top w:w="0" w:type="dxa"/>
            <w:left w:w="108" w:type="dxa"/>
            <w:bottom w:w="0" w:type="dxa"/>
            <w:right w:w="108" w:type="dxa"/>
          </w:tblCellMar>
        </w:tblPrEx>
        <w:trPr>
          <w:trHeight w:val="270" w:hRule="atLeast"/>
        </w:trPr>
        <w:tc>
          <w:tcPr>
            <w:tcW w:w="29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使用非财政拨款结余</w:t>
            </w:r>
          </w:p>
        </w:tc>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结余分配</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9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年初结转和结余</w:t>
            </w:r>
          </w:p>
        </w:tc>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17,772,722.44</w:t>
            </w:r>
          </w:p>
        </w:tc>
        <w:tc>
          <w:tcPr>
            <w:tcW w:w="2764"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17,091,723.94</w:t>
            </w:r>
          </w:p>
        </w:tc>
      </w:tr>
      <w:tr>
        <w:tblPrEx>
          <w:tblLayout w:type="fixed"/>
          <w:tblCellMar>
            <w:top w:w="0" w:type="dxa"/>
            <w:left w:w="108" w:type="dxa"/>
            <w:bottom w:w="0" w:type="dxa"/>
            <w:right w:w="108" w:type="dxa"/>
          </w:tblCellMar>
        </w:tblPrEx>
        <w:trPr>
          <w:trHeight w:val="270" w:hRule="atLeast"/>
        </w:trPr>
        <w:tc>
          <w:tcPr>
            <w:tcW w:w="29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64"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62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5" w:hRule="atLeast"/>
        </w:trPr>
        <w:tc>
          <w:tcPr>
            <w:tcW w:w="29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5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114,172,715.58</w:t>
            </w:r>
          </w:p>
        </w:tc>
        <w:tc>
          <w:tcPr>
            <w:tcW w:w="2764"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709"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6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114,172,715.58</w:t>
            </w:r>
          </w:p>
        </w:tc>
      </w:tr>
      <w:tr>
        <w:tblPrEx>
          <w:tblLayout w:type="fixed"/>
          <w:tblCellMar>
            <w:top w:w="0" w:type="dxa"/>
            <w:left w:w="108" w:type="dxa"/>
            <w:bottom w:w="0" w:type="dxa"/>
            <w:right w:w="108" w:type="dxa"/>
          </w:tblCellMar>
        </w:tblPrEx>
        <w:trPr>
          <w:trHeight w:val="285" w:hRule="atLeast"/>
        </w:trPr>
        <w:tc>
          <w:tcPr>
            <w:tcW w:w="7930"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注：本表反映部门本年度的总收支和年末结转结余情况。</w:t>
            </w:r>
          </w:p>
        </w:tc>
        <w:tc>
          <w:tcPr>
            <w:tcW w:w="709"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jc w:val="center"/>
        <w:rPr>
          <w:rFonts w:ascii="黑体" w:eastAsia="黑体"/>
          <w:b/>
          <w:sz w:val="30"/>
          <w:szCs w:val="30"/>
        </w:rPr>
        <w:sectPr>
          <w:headerReference r:id="rId3" w:type="default"/>
          <w:footerReference r:id="rId4" w:type="default"/>
          <w:footerReference r:id="rId5" w:type="even"/>
          <w:pgSz w:w="11906" w:h="16838"/>
          <w:pgMar w:top="1276" w:right="1800" w:bottom="993" w:left="1800" w:header="851" w:footer="992" w:gutter="0"/>
          <w:cols w:space="425" w:num="1"/>
          <w:docGrid w:type="lines" w:linePitch="312" w:charSpace="0"/>
        </w:sectPr>
      </w:pPr>
    </w:p>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收入决算表</w:t>
      </w:r>
    </w:p>
    <w:p>
      <w:pPr>
        <w:ind w:firstLine="108" w:firstLineChars="50"/>
        <w:rPr>
          <w:rFonts w:asciiTheme="majorEastAsia" w:hAnsiTheme="majorEastAsia" w:eastAsiaTheme="majorEastAsia"/>
          <w:b/>
          <w:sz w:val="22"/>
          <w:szCs w:val="22"/>
        </w:rPr>
      </w:pPr>
      <w:r>
        <w:rPr>
          <w:rFonts w:hint="eastAsia" w:ascii="仿宋_GB2312" w:hAnsi="宋体" w:eastAsia="仿宋_GB2312"/>
          <w:sz w:val="22"/>
          <w:szCs w:val="22"/>
        </w:rPr>
        <w:t xml:space="preserve">                                                                                                     </w:t>
      </w:r>
      <w:r>
        <w:rPr>
          <w:rFonts w:hint="eastAsia" w:asciiTheme="majorEastAsia" w:hAnsiTheme="majorEastAsia" w:eastAsiaTheme="majorEastAsia"/>
          <w:b/>
          <w:sz w:val="22"/>
          <w:szCs w:val="22"/>
        </w:rPr>
        <w:t xml:space="preserve"> 公开02表</w:t>
      </w:r>
    </w:p>
    <w:p>
      <w:pPr>
        <w:ind w:firstLine="108" w:firstLineChars="50"/>
        <w:rPr>
          <w:rFonts w:asciiTheme="majorEastAsia" w:hAnsiTheme="majorEastAsia" w:eastAsiaTheme="majorEastAsia"/>
          <w:b/>
          <w:sz w:val="22"/>
          <w:szCs w:val="22"/>
        </w:rPr>
      </w:pPr>
      <w:r>
        <w:rPr>
          <w:rFonts w:hint="eastAsia" w:asciiTheme="majorEastAsia" w:hAnsiTheme="majorEastAsia" w:eastAsiaTheme="majorEastAsia"/>
          <w:b/>
          <w:sz w:val="22"/>
          <w:szCs w:val="22"/>
        </w:rPr>
        <w:t>部门：青岛市市北区人民法院(本级)                2020年度                                            金额单位：元</w:t>
      </w:r>
    </w:p>
    <w:tbl>
      <w:tblPr>
        <w:tblStyle w:val="7"/>
        <w:tblW w:w="12908" w:type="dxa"/>
        <w:tblInd w:w="100" w:type="dxa"/>
        <w:tblLayout w:type="fixed"/>
        <w:tblCellMar>
          <w:top w:w="0" w:type="dxa"/>
          <w:left w:w="108" w:type="dxa"/>
          <w:bottom w:w="0" w:type="dxa"/>
          <w:right w:w="108" w:type="dxa"/>
        </w:tblCellMar>
      </w:tblPr>
      <w:tblGrid>
        <w:gridCol w:w="590"/>
        <w:gridCol w:w="590"/>
        <w:gridCol w:w="3648"/>
        <w:gridCol w:w="1559"/>
        <w:gridCol w:w="1843"/>
        <w:gridCol w:w="850"/>
        <w:gridCol w:w="709"/>
        <w:gridCol w:w="709"/>
        <w:gridCol w:w="1134"/>
        <w:gridCol w:w="1276"/>
      </w:tblGrid>
      <w:tr>
        <w:tblPrEx>
          <w:tblLayout w:type="fixed"/>
          <w:tblCellMar>
            <w:top w:w="0" w:type="dxa"/>
            <w:left w:w="108" w:type="dxa"/>
            <w:bottom w:w="0" w:type="dxa"/>
            <w:right w:w="108" w:type="dxa"/>
          </w:tblCellMar>
        </w:tblPrEx>
        <w:trPr>
          <w:trHeight w:val="610" w:hRule="atLeast"/>
        </w:trPr>
        <w:tc>
          <w:tcPr>
            <w:tcW w:w="1180" w:type="dxa"/>
            <w:gridSpan w:val="2"/>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648"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55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843"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财政拨款收入</w:t>
            </w:r>
          </w:p>
        </w:tc>
        <w:tc>
          <w:tcPr>
            <w:tcW w:w="85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上级补助收入</w:t>
            </w:r>
          </w:p>
        </w:tc>
        <w:tc>
          <w:tcPr>
            <w:tcW w:w="70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事业收入</w:t>
            </w:r>
          </w:p>
        </w:tc>
        <w:tc>
          <w:tcPr>
            <w:tcW w:w="70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经营收入</w:t>
            </w:r>
          </w:p>
        </w:tc>
        <w:tc>
          <w:tcPr>
            <w:tcW w:w="113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附属单位上缴收入</w:t>
            </w:r>
          </w:p>
        </w:tc>
        <w:tc>
          <w:tcPr>
            <w:tcW w:w="12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其他收入</w:t>
            </w:r>
          </w:p>
        </w:tc>
      </w:tr>
      <w:tr>
        <w:tblPrEx>
          <w:tblLayout w:type="fixed"/>
          <w:tblCellMar>
            <w:top w:w="0" w:type="dxa"/>
            <w:left w:w="108" w:type="dxa"/>
            <w:bottom w:w="0" w:type="dxa"/>
            <w:right w:w="108" w:type="dxa"/>
          </w:tblCellMar>
        </w:tblPrEx>
        <w:trPr>
          <w:trHeight w:val="610" w:hRule="atLeast"/>
        </w:trPr>
        <w:tc>
          <w:tcPr>
            <w:tcW w:w="1180"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36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5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843"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180"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36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5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843"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18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6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5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843"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0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90"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59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364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4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Layout w:type="fixed"/>
          <w:tblCellMar>
            <w:top w:w="0" w:type="dxa"/>
            <w:left w:w="108" w:type="dxa"/>
            <w:bottom w:w="0" w:type="dxa"/>
            <w:right w:w="108" w:type="dxa"/>
          </w:tblCellMar>
        </w:tblPrEx>
        <w:trPr>
          <w:trHeight w:val="27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9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64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96,399,993.14</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96,399,993.14</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公共安全支出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92,902,042.26</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92,902,042.26</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20405</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法院</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89,299,342.26</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89,299,342.26</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2040501</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行政运行</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65,466,090.68</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65,466,090.68</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2040502</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一般行政管理事务</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820,000.00</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820,000.00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2040504</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案件审判</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23,013,251.58</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23,013,251.58</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20499</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其他公共安全支出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3,602,700.00</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3,602,700.00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2049901</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其他公共安全支出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3,602,700.00</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3,602,700.00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社会保障和就业支出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20805</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行政事业单位养老支出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3,487,450.88</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3,487,450.88</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18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2080599</w:t>
            </w:r>
          </w:p>
        </w:tc>
        <w:tc>
          <w:tcPr>
            <w:tcW w:w="364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其他行政事业单位养老支出</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c>
          <w:tcPr>
            <w:tcW w:w="18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908" w:type="dxa"/>
            <w:gridSpan w:val="10"/>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注：本表反映部门本年度取得的各项收入情况。</w:t>
            </w:r>
          </w:p>
        </w:tc>
      </w:tr>
    </w:tbl>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支出决算表</w:t>
      </w:r>
    </w:p>
    <w:p>
      <w:pPr>
        <w:spacing w:line="400" w:lineRule="exact"/>
        <w:jc w:val="right"/>
        <w:rPr>
          <w:rFonts w:asciiTheme="majorEastAsia" w:hAnsiTheme="majorEastAsia" w:eastAsiaTheme="majorEastAsia"/>
          <w:sz w:val="22"/>
          <w:szCs w:val="22"/>
        </w:rPr>
      </w:pPr>
      <w:r>
        <w:rPr>
          <w:rFonts w:hint="eastAsia" w:ascii="黑体" w:hAnsi="黑体" w:eastAsia="黑体"/>
          <w:sz w:val="30"/>
          <w:szCs w:val="30"/>
        </w:rPr>
        <w:t xml:space="preserve">                                                                                  </w:t>
      </w:r>
      <w:r>
        <w:rPr>
          <w:rFonts w:hint="eastAsia" w:asciiTheme="majorEastAsia" w:hAnsiTheme="majorEastAsia" w:eastAsiaTheme="majorEastAsia"/>
          <w:sz w:val="22"/>
          <w:szCs w:val="22"/>
        </w:rPr>
        <w:t xml:space="preserve"> 公开03表</w:t>
      </w:r>
    </w:p>
    <w:p>
      <w:pPr>
        <w:ind w:firstLine="108" w:firstLineChars="50"/>
        <w:rPr>
          <w:rFonts w:asciiTheme="majorEastAsia" w:hAnsiTheme="majorEastAsia" w:eastAsiaTheme="majorEastAsia"/>
          <w:b/>
          <w:sz w:val="22"/>
          <w:szCs w:val="22"/>
        </w:rPr>
      </w:pPr>
      <w:r>
        <w:rPr>
          <w:rFonts w:hint="eastAsia" w:asciiTheme="majorEastAsia" w:hAnsiTheme="majorEastAsia" w:eastAsiaTheme="majorEastAsia"/>
          <w:b/>
          <w:sz w:val="22"/>
          <w:szCs w:val="22"/>
        </w:rPr>
        <w:t>部门：青岛市市北区人民法院(本级)                2020年度                                                     金额单位：元</w:t>
      </w:r>
    </w:p>
    <w:tbl>
      <w:tblPr>
        <w:tblStyle w:val="7"/>
        <w:tblW w:w="13550" w:type="dxa"/>
        <w:tblInd w:w="100" w:type="dxa"/>
        <w:tblLayout w:type="fixed"/>
        <w:tblCellMar>
          <w:top w:w="0" w:type="dxa"/>
          <w:left w:w="108" w:type="dxa"/>
          <w:bottom w:w="0" w:type="dxa"/>
          <w:right w:w="108" w:type="dxa"/>
        </w:tblCellMar>
      </w:tblPr>
      <w:tblGrid>
        <w:gridCol w:w="412"/>
        <w:gridCol w:w="412"/>
        <w:gridCol w:w="412"/>
        <w:gridCol w:w="3734"/>
        <w:gridCol w:w="1500"/>
        <w:gridCol w:w="1500"/>
        <w:gridCol w:w="1500"/>
        <w:gridCol w:w="1360"/>
        <w:gridCol w:w="1360"/>
        <w:gridCol w:w="1360"/>
      </w:tblGrid>
      <w:tr>
        <w:tblPrEx>
          <w:tblLayout w:type="fixed"/>
          <w:tblCellMar>
            <w:top w:w="0" w:type="dxa"/>
            <w:left w:w="108" w:type="dxa"/>
            <w:bottom w:w="0" w:type="dxa"/>
            <w:right w:w="108" w:type="dxa"/>
          </w:tblCellMar>
        </w:tblPrEx>
        <w:trPr>
          <w:trHeight w:val="610" w:hRule="atLeast"/>
        </w:trPr>
        <w:tc>
          <w:tcPr>
            <w:tcW w:w="123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73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5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5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5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136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上缴上级支出</w:t>
            </w:r>
          </w:p>
        </w:tc>
        <w:tc>
          <w:tcPr>
            <w:tcW w:w="136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经营支出</w:t>
            </w:r>
          </w:p>
        </w:tc>
        <w:tc>
          <w:tcPr>
            <w:tcW w:w="136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对附属单位补助支出</w:t>
            </w: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7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7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734"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41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41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41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37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3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3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Layout w:type="fixed"/>
          <w:tblCellMar>
            <w:top w:w="0" w:type="dxa"/>
            <w:left w:w="108" w:type="dxa"/>
            <w:bottom w:w="0" w:type="dxa"/>
            <w:right w:w="108" w:type="dxa"/>
          </w:tblCellMar>
        </w:tblPrEx>
        <w:trPr>
          <w:trHeight w:val="270" w:hRule="atLeast"/>
        </w:trPr>
        <w:tc>
          <w:tcPr>
            <w:tcW w:w="4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2"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2"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7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97,080,991.64</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68,960,462.56</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28,120,529.08</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公共安全支出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93,583,040.76</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65,473,011.68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28,110,029.08</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法院</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92,804,453.26</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65,473,011.68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27,331,441.58</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2040501</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行政运行</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65,473,011.68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65,473,011.68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2040502</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一般行政管理事务</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485,790.00</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485,790.00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2040504</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案件审判</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26,845,651.58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26,845,651.58</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20499</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其他公共安全支出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778,587.50</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778,587.50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2049901</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其他公共安全支出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778,587.50</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778,587.50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社会保障和就业支出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3,487,450.88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10,500.00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行政事业单位养老支出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3,497,950.88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3,487,450.88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10,500.00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3,487,450.88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3,487,450.88</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2080599</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其他行政事业单位养老支出</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13550" w:type="dxa"/>
            <w:gridSpan w:val="10"/>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注：本表反映部门本年度各项支出情况。</w:t>
            </w:r>
          </w:p>
        </w:tc>
      </w:tr>
    </w:tbl>
    <w:p>
      <w:pPr>
        <w:wordWrap w:val="0"/>
        <w:spacing w:line="400" w:lineRule="exact"/>
        <w:ind w:firstLine="108" w:firstLineChars="50"/>
        <w:jc w:val="right"/>
        <w:rPr>
          <w:rFonts w:ascii="仿宋_GB2312" w:hAnsi="宋体" w:eastAsia="仿宋_GB2312"/>
          <w:sz w:val="22"/>
          <w:szCs w:val="22"/>
        </w:rPr>
        <w:sectPr>
          <w:pgSz w:w="16838" w:h="11906" w:orient="landscape"/>
          <w:pgMar w:top="993"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Theme="majorEastAsia" w:hAnsiTheme="majorEastAsia" w:eastAsiaTheme="majorEastAsia"/>
          <w:sz w:val="22"/>
          <w:szCs w:val="22"/>
        </w:rPr>
      </w:pPr>
      <w:r>
        <w:rPr>
          <w:rFonts w:hint="eastAsia" w:asciiTheme="majorEastAsia" w:hAnsiTheme="majorEastAsia" w:eastAsiaTheme="majorEastAsia"/>
          <w:sz w:val="22"/>
          <w:szCs w:val="22"/>
        </w:rPr>
        <w:t>公开04表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部门：青岛市市北区人民法院（本级）                         2020年度                                            金额单位：元</w:t>
      </w:r>
    </w:p>
    <w:tbl>
      <w:tblPr>
        <w:tblStyle w:val="7"/>
        <w:tblW w:w="13769" w:type="dxa"/>
        <w:tblInd w:w="100" w:type="dxa"/>
        <w:tblLayout w:type="fixed"/>
        <w:tblCellMar>
          <w:top w:w="0" w:type="dxa"/>
          <w:left w:w="108" w:type="dxa"/>
          <w:bottom w:w="0" w:type="dxa"/>
          <w:right w:w="108" w:type="dxa"/>
        </w:tblCellMar>
      </w:tblPr>
      <w:tblGrid>
        <w:gridCol w:w="2843"/>
        <w:gridCol w:w="544"/>
        <w:gridCol w:w="1441"/>
        <w:gridCol w:w="2410"/>
        <w:gridCol w:w="800"/>
        <w:gridCol w:w="1423"/>
        <w:gridCol w:w="1460"/>
        <w:gridCol w:w="1420"/>
        <w:gridCol w:w="1428"/>
      </w:tblGrid>
      <w:tr>
        <w:tblPrEx>
          <w:tblLayout w:type="fixed"/>
          <w:tblCellMar>
            <w:top w:w="0" w:type="dxa"/>
            <w:left w:w="108" w:type="dxa"/>
            <w:bottom w:w="0" w:type="dxa"/>
            <w:right w:w="108" w:type="dxa"/>
          </w:tblCellMar>
        </w:tblPrEx>
        <w:trPr>
          <w:trHeight w:val="270" w:hRule="atLeast"/>
        </w:trPr>
        <w:tc>
          <w:tcPr>
            <w:tcW w:w="4828" w:type="dxa"/>
            <w:gridSpan w:val="3"/>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收     入</w:t>
            </w:r>
          </w:p>
        </w:tc>
        <w:tc>
          <w:tcPr>
            <w:tcW w:w="8941" w:type="dxa"/>
            <w:gridSpan w:val="6"/>
            <w:tcBorders>
              <w:top w:val="single" w:color="auto" w:sz="4" w:space="0"/>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支     出</w:t>
            </w:r>
          </w:p>
        </w:tc>
      </w:tr>
      <w:tr>
        <w:tblPrEx>
          <w:tblLayout w:type="fixed"/>
          <w:tblCellMar>
            <w:top w:w="0" w:type="dxa"/>
            <w:left w:w="108" w:type="dxa"/>
            <w:bottom w:w="0" w:type="dxa"/>
            <w:right w:w="108" w:type="dxa"/>
          </w:tblCellMar>
        </w:tblPrEx>
        <w:trPr>
          <w:trHeight w:val="610" w:hRule="atLeast"/>
        </w:trPr>
        <w:tc>
          <w:tcPr>
            <w:tcW w:w="2843"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项目</w:t>
            </w:r>
          </w:p>
        </w:tc>
        <w:tc>
          <w:tcPr>
            <w:tcW w:w="544"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行次</w:t>
            </w:r>
          </w:p>
        </w:tc>
        <w:tc>
          <w:tcPr>
            <w:tcW w:w="1441"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金额</w:t>
            </w:r>
          </w:p>
        </w:tc>
        <w:tc>
          <w:tcPr>
            <w:tcW w:w="2410"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项目</w:t>
            </w:r>
          </w:p>
        </w:tc>
        <w:tc>
          <w:tcPr>
            <w:tcW w:w="800"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行次</w:t>
            </w:r>
          </w:p>
        </w:tc>
        <w:tc>
          <w:tcPr>
            <w:tcW w:w="1423"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合计</w:t>
            </w:r>
          </w:p>
        </w:tc>
        <w:tc>
          <w:tcPr>
            <w:tcW w:w="1460"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一般公共预算财政拨款</w:t>
            </w:r>
          </w:p>
        </w:tc>
        <w:tc>
          <w:tcPr>
            <w:tcW w:w="1420"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政府性基金预算财政拨款</w:t>
            </w:r>
          </w:p>
        </w:tc>
        <w:tc>
          <w:tcPr>
            <w:tcW w:w="1428" w:type="dxa"/>
            <w:vMerge w:val="restart"/>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国有资本经营预算财政拨款</w:t>
            </w:r>
          </w:p>
        </w:tc>
      </w:tr>
      <w:tr>
        <w:tblPrEx>
          <w:tblLayout w:type="fixed"/>
          <w:tblCellMar>
            <w:top w:w="0" w:type="dxa"/>
            <w:left w:w="108" w:type="dxa"/>
            <w:bottom w:w="0" w:type="dxa"/>
            <w:right w:w="108" w:type="dxa"/>
          </w:tblCellMar>
        </w:tblPrEx>
        <w:trPr>
          <w:trHeight w:val="610" w:hRule="atLeast"/>
        </w:trPr>
        <w:tc>
          <w:tcPr>
            <w:tcW w:w="2843" w:type="dxa"/>
            <w:vMerge w:val="continue"/>
            <w:tcBorders>
              <w:top w:val="nil"/>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544"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1441"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2410"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800"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1423"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1460"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1420"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c>
          <w:tcPr>
            <w:tcW w:w="1428" w:type="dxa"/>
            <w:vMerge w:val="continue"/>
            <w:tcBorders>
              <w:top w:val="nil"/>
              <w:left w:val="nil"/>
              <w:bottom w:val="single" w:color="000000" w:sz="4" w:space="0"/>
              <w:right w:val="single" w:color="000000" w:sz="4" w:space="0"/>
            </w:tcBorders>
            <w:vAlign w:val="center"/>
          </w:tcPr>
          <w:p>
            <w:pPr>
              <w:rPr>
                <w:rFonts w:ascii="宋体" w:hAnsi="宋体" w:cs="宋体"/>
                <w:sz w:val="20"/>
                <w:szCs w:val="20"/>
              </w:rPr>
            </w:pP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栏次</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p>
        </w:tc>
        <w:tc>
          <w:tcPr>
            <w:tcW w:w="1441"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w:t>
            </w:r>
          </w:p>
        </w:tc>
        <w:tc>
          <w:tcPr>
            <w:tcW w:w="241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栏次</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　</w:t>
            </w:r>
          </w:p>
        </w:tc>
        <w:tc>
          <w:tcPr>
            <w:tcW w:w="1423"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w:t>
            </w:r>
          </w:p>
        </w:tc>
        <w:tc>
          <w:tcPr>
            <w:tcW w:w="146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w:t>
            </w:r>
          </w:p>
        </w:tc>
        <w:tc>
          <w:tcPr>
            <w:tcW w:w="142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w:t>
            </w:r>
          </w:p>
        </w:tc>
        <w:tc>
          <w:tcPr>
            <w:tcW w:w="1428"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一、一般公共预算财政拨款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96,399,993.14</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一、一般公共服务支出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33</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二、政府性基金预算财政拨款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二、外交支出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34</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三、国有资本经营财政拨款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三、国防支出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35</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四、公共安全支出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36</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93,583,040.76</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93,583,040.76</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五、教育支出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37</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六、科学技术支出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38</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7</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七、文化旅游体育与传媒支出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39</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8</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八、社会保障和就业支出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40</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3,497,950.88</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3,497,950.88</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9</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九、卫生健康支出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41</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10</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十、节能环保支出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42</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11</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十一、城乡社区支出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43</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12</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十二、农林水支出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44</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13</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十三、交通运输支出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45</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14</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十四、资源勘探工业信息等支出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46</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15</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十五、商业服务业等支出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47</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16</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十六、金融支出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48</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17</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十七、援助其他地区支出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49</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18</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十八、自然资源海洋气象等支出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50</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19</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十九、住房保障支出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51</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20</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二十、粮油物资储备支出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52</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21</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二十一、国有资本经营预算支出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53</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22</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二十二、灾害防治及应急管理支出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54</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23</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二十三、其他支出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55</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sz w:val="20"/>
                <w:szCs w:val="20"/>
              </w:rPr>
            </w:pPr>
            <w:r>
              <w:rPr>
                <w:rFonts w:hint="eastAsia"/>
                <w:b/>
                <w:bCs/>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24</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二十四、债务还本支出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56</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25</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二十五、债务付息支出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57</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26</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二十六、抗疫特别国债安排的支出</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58</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sz w:val="20"/>
                <w:szCs w:val="20"/>
              </w:rPr>
            </w:pPr>
            <w:r>
              <w:rPr>
                <w:rFonts w:hint="eastAsia"/>
                <w:b/>
                <w:bCs/>
                <w:sz w:val="20"/>
                <w:szCs w:val="20"/>
              </w:rPr>
              <w:t>本年收入合计</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27</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96,399,993.14</w:t>
            </w:r>
          </w:p>
        </w:tc>
        <w:tc>
          <w:tcPr>
            <w:tcW w:w="241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b/>
                <w:bCs/>
                <w:sz w:val="20"/>
                <w:szCs w:val="20"/>
              </w:rPr>
            </w:pPr>
            <w:r>
              <w:rPr>
                <w:rFonts w:hint="eastAsia"/>
                <w:b/>
                <w:bCs/>
                <w:sz w:val="20"/>
                <w:szCs w:val="20"/>
              </w:rPr>
              <w:t>本年支出合计</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59</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97,080,991.64</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97,080,991.64</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年初财政拨款结转和结余</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28</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14,111,969.46</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年末财政拨款结转和结余</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60</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13,430,970.96</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13,430,970.96</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xml:space="preserve">  一般公共预算财政拨款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29</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14,111,969.46</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61</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xml:space="preserve">  政府性基金预算财政拨款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30</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62</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0"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xml:space="preserve">  国有资本经营预算财政拨款</w:t>
            </w:r>
          </w:p>
        </w:tc>
        <w:tc>
          <w:tcPr>
            <w:tcW w:w="544"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31</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sz w:val="20"/>
                <w:szCs w:val="20"/>
              </w:rPr>
            </w:pPr>
            <w:r>
              <w:rPr>
                <w:rFonts w:hint="eastAsia"/>
                <w:sz w:val="20"/>
                <w:szCs w:val="20"/>
              </w:rPr>
              <w:t>　</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63</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278" w:hRule="atLeast"/>
        </w:trPr>
        <w:tc>
          <w:tcPr>
            <w:tcW w:w="2843" w:type="dxa"/>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宋体"/>
                <w:b/>
                <w:bCs/>
                <w:sz w:val="20"/>
                <w:szCs w:val="20"/>
              </w:rPr>
            </w:pPr>
            <w:r>
              <w:rPr>
                <w:rFonts w:hint="eastAsia"/>
                <w:b/>
                <w:bCs/>
                <w:sz w:val="20"/>
                <w:szCs w:val="20"/>
              </w:rPr>
              <w:t>总计</w:t>
            </w:r>
          </w:p>
        </w:tc>
        <w:tc>
          <w:tcPr>
            <w:tcW w:w="544" w:type="dxa"/>
            <w:tcBorders>
              <w:top w:val="nil"/>
              <w:left w:val="nil"/>
              <w:bottom w:val="single" w:color="000000" w:sz="12"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32</w:t>
            </w:r>
          </w:p>
        </w:tc>
        <w:tc>
          <w:tcPr>
            <w:tcW w:w="1441"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110,511,962.60</w:t>
            </w:r>
          </w:p>
        </w:tc>
        <w:tc>
          <w:tcPr>
            <w:tcW w:w="2410" w:type="dxa"/>
            <w:tcBorders>
              <w:top w:val="nil"/>
              <w:left w:val="nil"/>
              <w:bottom w:val="single" w:color="000000" w:sz="4" w:space="0"/>
              <w:right w:val="single" w:color="000000" w:sz="4" w:space="0"/>
            </w:tcBorders>
            <w:shd w:val="clear" w:color="000000" w:fill="FFFFFF"/>
            <w:vAlign w:val="center"/>
          </w:tcPr>
          <w:p>
            <w:pPr>
              <w:rPr>
                <w:rFonts w:ascii="宋体" w:hAnsi="宋体" w:cs="宋体"/>
                <w:b/>
                <w:bCs/>
                <w:sz w:val="20"/>
                <w:szCs w:val="20"/>
              </w:rPr>
            </w:pPr>
            <w:r>
              <w:rPr>
                <w:rFonts w:hint="eastAsia"/>
                <w:b/>
                <w:bCs/>
                <w:sz w:val="20"/>
                <w:szCs w:val="20"/>
              </w:rPr>
              <w:t>总计</w:t>
            </w:r>
          </w:p>
        </w:tc>
        <w:tc>
          <w:tcPr>
            <w:tcW w:w="800" w:type="dxa"/>
            <w:tcBorders>
              <w:top w:val="nil"/>
              <w:left w:val="nil"/>
              <w:bottom w:val="single" w:color="000000" w:sz="4" w:space="0"/>
              <w:right w:val="single" w:color="000000" w:sz="4" w:space="0"/>
            </w:tcBorders>
            <w:shd w:val="clear" w:color="000000" w:fill="FFFFFF"/>
            <w:vAlign w:val="center"/>
          </w:tcPr>
          <w:p>
            <w:pPr>
              <w:jc w:val="center"/>
              <w:rPr>
                <w:rFonts w:ascii="宋体" w:hAnsi="宋体" w:cs="宋体"/>
                <w:sz w:val="20"/>
                <w:szCs w:val="20"/>
              </w:rPr>
            </w:pPr>
            <w:r>
              <w:rPr>
                <w:rFonts w:hint="eastAsia"/>
                <w:sz w:val="20"/>
                <w:szCs w:val="20"/>
              </w:rPr>
              <w:t>64</w:t>
            </w:r>
          </w:p>
        </w:tc>
        <w:tc>
          <w:tcPr>
            <w:tcW w:w="1423"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110,511,962.60</w:t>
            </w:r>
          </w:p>
        </w:tc>
        <w:tc>
          <w:tcPr>
            <w:tcW w:w="146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110,511,962.60</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c>
          <w:tcPr>
            <w:tcW w:w="1428" w:type="dxa"/>
            <w:tcBorders>
              <w:top w:val="nil"/>
              <w:left w:val="nil"/>
              <w:bottom w:val="single" w:color="000000" w:sz="4" w:space="0"/>
              <w:right w:val="single" w:color="000000" w:sz="4" w:space="0"/>
            </w:tcBorders>
            <w:shd w:val="clear" w:color="000000" w:fill="FFFFFF"/>
            <w:vAlign w:val="center"/>
          </w:tcPr>
          <w:p>
            <w:pPr>
              <w:jc w:val="right"/>
              <w:rPr>
                <w:rFonts w:ascii="宋体" w:hAnsi="宋体" w:cs="宋体"/>
                <w:sz w:val="20"/>
                <w:szCs w:val="20"/>
              </w:rPr>
            </w:pPr>
            <w:r>
              <w:rPr>
                <w:rFonts w:hint="eastAsia"/>
                <w:sz w:val="20"/>
                <w:szCs w:val="20"/>
              </w:rPr>
              <w:t>　</w:t>
            </w:r>
          </w:p>
        </w:tc>
      </w:tr>
    </w:tbl>
    <w:p>
      <w:pPr>
        <w:ind w:firstLine="108" w:firstLineChars="50"/>
        <w:rPr>
          <w:rFonts w:ascii="仿宋_GB2312" w:hAnsi="宋体" w:eastAsia="仿宋_GB2312"/>
          <w:sz w:val="22"/>
          <w:szCs w:val="22"/>
        </w:rPr>
        <w:sectPr>
          <w:pgSz w:w="16838" w:h="11906" w:orient="landscape"/>
          <w:pgMar w:top="1135" w:right="1701" w:bottom="1531" w:left="1701" w:header="0" w:footer="1418" w:gutter="0"/>
          <w:cols w:space="720" w:num="1"/>
          <w:docGrid w:type="linesAndChars" w:linePitch="610" w:charSpace="-849"/>
        </w:sectPr>
      </w:pPr>
      <w:r>
        <w:rPr>
          <w:rFonts w:hint="eastAsia" w:ascii="仿宋_GB2312" w:hAnsi="宋体" w:eastAsia="仿宋_GB2312"/>
          <w:sz w:val="22"/>
          <w:szCs w:val="22"/>
        </w:rPr>
        <w:t>注：本表反映部门本年度一般公共预算财政拨款、政府性基金预算财政拨款和国有资本经营预算财政拨款的总收支和年末结转结余情况。</w:t>
      </w:r>
    </w:p>
    <w:p>
      <w:pPr>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一般公共预算财政拨款支出决算表</w:t>
      </w:r>
    </w:p>
    <w:p>
      <w:pPr>
        <w:spacing w:line="400" w:lineRule="exact"/>
        <w:ind w:right="432"/>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公开05表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部门：青岛市市北区人民法院（本级）                         2020年度                          金额单位：元</w:t>
      </w:r>
    </w:p>
    <w:tbl>
      <w:tblPr>
        <w:tblStyle w:val="7"/>
        <w:tblW w:w="11490" w:type="dxa"/>
        <w:tblInd w:w="988" w:type="dxa"/>
        <w:tblLayout w:type="fixed"/>
        <w:tblCellMar>
          <w:top w:w="0" w:type="dxa"/>
          <w:left w:w="108" w:type="dxa"/>
          <w:bottom w:w="0" w:type="dxa"/>
          <w:right w:w="108" w:type="dxa"/>
        </w:tblCellMar>
      </w:tblPr>
      <w:tblGrid>
        <w:gridCol w:w="575"/>
        <w:gridCol w:w="567"/>
        <w:gridCol w:w="567"/>
        <w:gridCol w:w="2940"/>
        <w:gridCol w:w="2022"/>
        <w:gridCol w:w="2693"/>
        <w:gridCol w:w="2126"/>
      </w:tblGrid>
      <w:tr>
        <w:tblPrEx>
          <w:tblLayout w:type="fixed"/>
          <w:tblCellMar>
            <w:top w:w="0" w:type="dxa"/>
            <w:left w:w="108" w:type="dxa"/>
            <w:bottom w:w="0" w:type="dxa"/>
            <w:right w:w="108" w:type="dxa"/>
          </w:tblCellMar>
        </w:tblPrEx>
        <w:trPr>
          <w:trHeight w:val="270" w:hRule="atLeast"/>
        </w:trPr>
        <w:tc>
          <w:tcPr>
            <w:tcW w:w="1709"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294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6841" w:type="dxa"/>
            <w:gridSpan w:val="3"/>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本年支出</w:t>
            </w:r>
          </w:p>
        </w:tc>
      </w:tr>
      <w:tr>
        <w:tblPrEx>
          <w:tblLayout w:type="fixed"/>
          <w:tblCellMar>
            <w:top w:w="0" w:type="dxa"/>
            <w:left w:w="108" w:type="dxa"/>
            <w:bottom w:w="0" w:type="dxa"/>
            <w:right w:w="108" w:type="dxa"/>
          </w:tblCellMar>
        </w:tblPrEx>
        <w:trPr>
          <w:trHeight w:val="610" w:hRule="atLeast"/>
        </w:trPr>
        <w:tc>
          <w:tcPr>
            <w:tcW w:w="1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9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2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269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212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r>
      <w:tr>
        <w:tblPrEx>
          <w:tblLayout w:type="fixed"/>
          <w:tblCellMar>
            <w:top w:w="0" w:type="dxa"/>
            <w:left w:w="108" w:type="dxa"/>
            <w:bottom w:w="0" w:type="dxa"/>
            <w:right w:w="108" w:type="dxa"/>
          </w:tblCellMar>
        </w:tblPrEx>
        <w:trPr>
          <w:trHeight w:val="610" w:hRule="atLeast"/>
        </w:trPr>
        <w:tc>
          <w:tcPr>
            <w:tcW w:w="1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9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22"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93"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9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22"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93"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75"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5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5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29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Layout w:type="fixed"/>
          <w:tblCellMar>
            <w:top w:w="0" w:type="dxa"/>
            <w:left w:w="108" w:type="dxa"/>
            <w:bottom w:w="0" w:type="dxa"/>
            <w:right w:w="108" w:type="dxa"/>
          </w:tblCellMar>
        </w:tblPrEx>
        <w:trPr>
          <w:trHeight w:val="270" w:hRule="atLeast"/>
        </w:trPr>
        <w:tc>
          <w:tcPr>
            <w:tcW w:w="5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9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97,080,991.64</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68,960,462.56</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28,120,529.08</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公共安全支出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93,583,040.76</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65,473,011.68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28,110,029.08</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20405</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法院</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92,804,453.26</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65,473,011.68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27,331,441.58</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2040501</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行政运行</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65,473,011.68</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65,473,011.68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2040502</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一般行政管理事务</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485,790.00</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485,790.00</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2040504</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案件审判</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26,845,651.58</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26,845,651.58</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20499</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其他公共安全支出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778,587.50</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778,587.50</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2049901</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其他公共安全支出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778,587.50</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778,587.50</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社会保障和就业支出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3,497,950.88</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3,487,450.88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10,500.00</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20805</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行政事业单位养老支出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3,497,950.88</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3,487,450.88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10,500.00</w:t>
            </w: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3,487,450.88</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3,487,450.88</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1709"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2080599</w:t>
            </w:r>
          </w:p>
        </w:tc>
        <w:tc>
          <w:tcPr>
            <w:tcW w:w="294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其他行政事业单位养老支出</w:t>
            </w:r>
          </w:p>
        </w:tc>
        <w:tc>
          <w:tcPr>
            <w:tcW w:w="202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10,500.00</w:t>
            </w:r>
          </w:p>
        </w:tc>
        <w:tc>
          <w:tcPr>
            <w:tcW w:w="269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10,500.00</w:t>
            </w:r>
          </w:p>
        </w:tc>
      </w:tr>
    </w:tbl>
    <w:p>
      <w:pPr>
        <w:ind w:firstLine="821" w:firstLineChars="399"/>
        <w:jc w:val="left"/>
        <w:rPr>
          <w:rFonts w:hint="eastAsia" w:asciiTheme="minorEastAsia" w:hAnsiTheme="minorEastAsia" w:eastAsiaTheme="minorEastAsia"/>
          <w:szCs w:val="21"/>
        </w:rPr>
      </w:pPr>
      <w:r>
        <w:rPr>
          <w:rFonts w:hint="eastAsia" w:asciiTheme="minorEastAsia" w:hAnsiTheme="minorEastAsia" w:eastAsiaTheme="minorEastAsia"/>
          <w:szCs w:val="21"/>
        </w:rPr>
        <w:t>注：本表反映部门本年度一般公共预算财政拨款支出情况。</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公开06表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部门：青岛市市北区人民法院（本级）                         2020年度                                            金额单位：元</w:t>
      </w:r>
    </w:p>
    <w:tbl>
      <w:tblPr>
        <w:tblStyle w:val="7"/>
        <w:tblW w:w="14717" w:type="dxa"/>
        <w:tblInd w:w="-632" w:type="dxa"/>
        <w:tblLayout w:type="fixed"/>
        <w:tblCellMar>
          <w:top w:w="0" w:type="dxa"/>
          <w:left w:w="108" w:type="dxa"/>
          <w:bottom w:w="0" w:type="dxa"/>
          <w:right w:w="108" w:type="dxa"/>
        </w:tblCellMar>
      </w:tblPr>
      <w:tblGrid>
        <w:gridCol w:w="982"/>
        <w:gridCol w:w="2704"/>
        <w:gridCol w:w="1490"/>
        <w:gridCol w:w="919"/>
        <w:gridCol w:w="2411"/>
        <w:gridCol w:w="1392"/>
        <w:gridCol w:w="876"/>
        <w:gridCol w:w="2551"/>
        <w:gridCol w:w="1392"/>
      </w:tblGrid>
      <w:tr>
        <w:tblPrEx>
          <w:tblLayout w:type="fixed"/>
          <w:tblCellMar>
            <w:top w:w="0" w:type="dxa"/>
            <w:left w:w="108" w:type="dxa"/>
            <w:bottom w:w="0" w:type="dxa"/>
            <w:right w:w="108" w:type="dxa"/>
          </w:tblCellMar>
        </w:tblPrEx>
        <w:trPr>
          <w:trHeight w:val="270" w:hRule="atLeast"/>
        </w:trPr>
        <w:tc>
          <w:tcPr>
            <w:tcW w:w="51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人员经费</w:t>
            </w:r>
          </w:p>
        </w:tc>
        <w:tc>
          <w:tcPr>
            <w:tcW w:w="954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w:t>
            </w:r>
          </w:p>
        </w:tc>
      </w:tr>
      <w:tr>
        <w:tblPrEx>
          <w:tblLayout w:type="fixed"/>
          <w:tblCellMar>
            <w:top w:w="0" w:type="dxa"/>
            <w:left w:w="108" w:type="dxa"/>
            <w:bottom w:w="0" w:type="dxa"/>
            <w:right w:w="108" w:type="dxa"/>
          </w:tblCellMar>
        </w:tblPrEx>
        <w:trPr>
          <w:trHeight w:val="610"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27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4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9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24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3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25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3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trHeight w:val="61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工资福利支出</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57,080,411.66</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商品和服务支出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6,183,651.97</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债务利息及费用支出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30101</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基本工资</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10,415,271.00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30201</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办公费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329,577.90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30701</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国内债务付息</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30102</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津贴补贴</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27,128,901.20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30202</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印刷费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123,262.77</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30702</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国外债务付息</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30103</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奖金</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6,991,077.00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30203</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咨询费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30703</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国内债务发行费用</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30106</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伙食补助费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90.00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30204</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手续费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6,991.00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30704</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国外债务发行费用</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30107</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绩效工资</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99,822.07</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30205</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水费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58,888.00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资本性支出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30108</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3,487,450.88</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30206</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电费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458,909.63</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31001</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房屋建筑物购建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30109</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职业年金缴费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30207</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邮电费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1,079,553.87</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31002</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办公设备购置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30110</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职工基本医疗保险缴费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3,225,767.87</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30208</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取暖费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50,732.42</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31003</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专用设备购置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30111</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公务员医疗补助缴费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30209</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物业管理费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834,379.36</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31005</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基础设施建设</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30112</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其他社会保障缴费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59,160.64</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30211</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差旅费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168,847.77</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31006</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大型修缮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30113</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住房公积金</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3,278,681.00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30212</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因公出国（境）费用</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31007</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信息网络及软件购置更新</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30114</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医疗费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30213</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维修（护）费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190,503.70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31008</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物资储备</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30199</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其他工资福利支出</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2,394,190.00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30214</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租赁费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533,458.80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土地补偿</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对个人和家庭的补助</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5,696,398.93</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30215</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会议费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31010</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安置补助</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30301</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离休费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30216</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培训费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31011</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地上附着物和青苗补偿</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30302</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退休费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5,678,725.43</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30217</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公务接待费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31012</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拆迁补偿</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30303</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退职（役）费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30218</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专用材料费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31013</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公务用车购置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30304</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抚恤金</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30224</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被装购置费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其他交通工具购置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30305</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生活补助</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15,444.00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30225</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专用燃料费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31021</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文物和陈列品购置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30306</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救济费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30226</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劳务费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31022</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无形资产购置</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30307</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医疗费补助</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30227</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委托业务费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31099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其他资本性支出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30308</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助学金</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30228</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工会经费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183,551.80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对企业补助</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30309</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奖励金</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2,229.50</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30229</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福利费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31201</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资本金注入</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30310</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个人农业生产补贴</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30231</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公务用车运行维护费</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571,790.95</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31203</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政府投资基金股权投资</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30311</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代缴社会保险费</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30239</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其他交通费用</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1,580,204.00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31204</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费用补贴</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30399</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其他对个人和家庭的补助</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30240</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税金及附加费用</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31205</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利息补贴</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30299</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其他商品和服务支出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13,000.00</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31299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其他对企业补助</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其他支出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39906</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赠与</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39907</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国家赔偿费用支出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39908</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对民间非营利组织和群众性自治组织补贴</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39999</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其他支出</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8" w:hRule="atLeast"/>
        </w:trPr>
        <w:tc>
          <w:tcPr>
            <w:tcW w:w="368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人员经费合计</w:t>
            </w:r>
          </w:p>
        </w:tc>
        <w:tc>
          <w:tcPr>
            <w:tcW w:w="14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62,776,810.59</w:t>
            </w:r>
          </w:p>
        </w:tc>
        <w:tc>
          <w:tcPr>
            <w:tcW w:w="814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公用经费合计</w:t>
            </w:r>
          </w:p>
        </w:tc>
        <w:tc>
          <w:tcPr>
            <w:tcW w:w="13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6,183,651.97</w:t>
            </w:r>
          </w:p>
        </w:tc>
      </w:tr>
    </w:tbl>
    <w:p>
      <w:pPr>
        <w:spacing w:line="400" w:lineRule="exact"/>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注:本表反映部门本年度一般公共预算财政拨款基本支出明细情况。</w:t>
      </w:r>
    </w:p>
    <w:p>
      <w:pPr>
        <w:jc w:val="center"/>
        <w:rPr>
          <w:rFonts w:ascii="方正小标宋简体" w:eastAsia="方正小标宋简体"/>
          <w:sz w:val="44"/>
          <w:szCs w:val="44"/>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Theme="minorEastAsia" w:hAnsiTheme="minorEastAsia" w:eastAsiaTheme="minorEastAsia"/>
          <w:sz w:val="24"/>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Theme="minorEastAsia" w:hAnsiTheme="minorEastAsia" w:eastAsiaTheme="minorEastAsia"/>
          <w:sz w:val="24"/>
        </w:rPr>
        <w:t>公开07表</w:t>
      </w:r>
    </w:p>
    <w:p>
      <w:pPr>
        <w:wordWrap w:val="0"/>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部门：青岛市市北区人民法院（本级）                       2020年度                                 金额单位：元</w:t>
      </w:r>
    </w:p>
    <w:tbl>
      <w:tblPr>
        <w:tblStyle w:val="7"/>
        <w:tblW w:w="13616" w:type="dxa"/>
        <w:tblInd w:w="100" w:type="dxa"/>
        <w:tblLayout w:type="fixed"/>
        <w:tblCellMar>
          <w:top w:w="0" w:type="dxa"/>
          <w:left w:w="108" w:type="dxa"/>
          <w:bottom w:w="0" w:type="dxa"/>
          <w:right w:w="108" w:type="dxa"/>
        </w:tblCellMar>
      </w:tblPr>
      <w:tblGrid>
        <w:gridCol w:w="1392"/>
        <w:gridCol w:w="933"/>
        <w:gridCol w:w="1392"/>
        <w:gridCol w:w="890"/>
        <w:gridCol w:w="1392"/>
        <w:gridCol w:w="1098"/>
        <w:gridCol w:w="1196"/>
        <w:gridCol w:w="933"/>
        <w:gridCol w:w="1196"/>
        <w:gridCol w:w="1068"/>
        <w:gridCol w:w="1196"/>
        <w:gridCol w:w="930"/>
      </w:tblGrid>
      <w:tr>
        <w:tblPrEx>
          <w:tblLayout w:type="fixed"/>
          <w:tblCellMar>
            <w:top w:w="0" w:type="dxa"/>
            <w:left w:w="108" w:type="dxa"/>
            <w:bottom w:w="0" w:type="dxa"/>
            <w:right w:w="108" w:type="dxa"/>
          </w:tblCellMar>
        </w:tblPrEx>
        <w:trPr>
          <w:trHeight w:val="270" w:hRule="atLeast"/>
        </w:trPr>
        <w:tc>
          <w:tcPr>
            <w:tcW w:w="7097" w:type="dxa"/>
            <w:gridSpan w:val="6"/>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c>
          <w:tcPr>
            <w:tcW w:w="6519" w:type="dxa"/>
            <w:gridSpan w:val="6"/>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决算数</w:t>
            </w:r>
          </w:p>
        </w:tc>
      </w:tr>
      <w:tr>
        <w:tblPrEx>
          <w:tblLayout w:type="fixed"/>
          <w:tblCellMar>
            <w:top w:w="0" w:type="dxa"/>
            <w:left w:w="108" w:type="dxa"/>
            <w:bottom w:w="0" w:type="dxa"/>
            <w:right w:w="108" w:type="dxa"/>
          </w:tblCellMar>
        </w:tblPrEx>
        <w:trPr>
          <w:trHeight w:val="270" w:hRule="atLeast"/>
        </w:trPr>
        <w:tc>
          <w:tcPr>
            <w:tcW w:w="139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3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因公出国（境）费</w:t>
            </w:r>
          </w:p>
        </w:tc>
        <w:tc>
          <w:tcPr>
            <w:tcW w:w="3674"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公务用车购置及运行费</w:t>
            </w:r>
          </w:p>
        </w:tc>
        <w:tc>
          <w:tcPr>
            <w:tcW w:w="1098"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公务接待费</w:t>
            </w:r>
          </w:p>
        </w:tc>
        <w:tc>
          <w:tcPr>
            <w:tcW w:w="119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3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因公出国（境）费</w:t>
            </w:r>
          </w:p>
        </w:tc>
        <w:tc>
          <w:tcPr>
            <w:tcW w:w="346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公务用车购置及运行费</w:t>
            </w:r>
          </w:p>
        </w:tc>
        <w:tc>
          <w:tcPr>
            <w:tcW w:w="93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公务接待费</w:t>
            </w:r>
          </w:p>
        </w:tc>
      </w:tr>
      <w:tr>
        <w:tblPrEx>
          <w:tblLayout w:type="fixed"/>
          <w:tblCellMar>
            <w:top w:w="0" w:type="dxa"/>
            <w:left w:w="108" w:type="dxa"/>
            <w:bottom w:w="0" w:type="dxa"/>
            <w:right w:w="108" w:type="dxa"/>
          </w:tblCellMar>
        </w:tblPrEx>
        <w:trPr>
          <w:trHeight w:val="510" w:hRule="atLeast"/>
        </w:trPr>
        <w:tc>
          <w:tcPr>
            <w:tcW w:w="1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3"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公务用车运行费</w:t>
            </w:r>
          </w:p>
        </w:tc>
        <w:tc>
          <w:tcPr>
            <w:tcW w:w="1098"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96"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3"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公务用车运行费</w:t>
            </w:r>
          </w:p>
        </w:tc>
        <w:tc>
          <w:tcPr>
            <w:tcW w:w="93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1392"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3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9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3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6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3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Layout w:type="fixed"/>
          <w:tblCellMar>
            <w:top w:w="0" w:type="dxa"/>
            <w:left w:w="108" w:type="dxa"/>
            <w:bottom w:w="0" w:type="dxa"/>
            <w:right w:w="108" w:type="dxa"/>
          </w:tblCellMar>
        </w:tblPrEx>
        <w:trPr>
          <w:trHeight w:val="270" w:hRule="atLeast"/>
        </w:trPr>
        <w:tc>
          <w:tcPr>
            <w:tcW w:w="1392" w:type="dxa"/>
            <w:tcBorders>
              <w:top w:val="nil"/>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1,157,200.00</w:t>
            </w:r>
          </w:p>
        </w:tc>
        <w:tc>
          <w:tcPr>
            <w:tcW w:w="93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3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1,143,800.00</w:t>
            </w:r>
          </w:p>
        </w:tc>
        <w:tc>
          <w:tcPr>
            <w:tcW w:w="89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3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1,143,800.00</w:t>
            </w:r>
          </w:p>
        </w:tc>
        <w:tc>
          <w:tcPr>
            <w:tcW w:w="109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13,400.00</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93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10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93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360" w:lineRule="exact"/>
        <w:ind w:firstLine="108" w:firstLineChars="50"/>
        <w:rPr>
          <w:rFonts w:ascii="仿宋_GB2312" w:hAnsi="宋体" w:eastAsia="仿宋_GB2312"/>
          <w:sz w:val="22"/>
          <w:szCs w:val="22"/>
        </w:rPr>
      </w:pPr>
    </w:p>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注：本表反映部门本年度“三公”经费支出预决算情况。其中：预算数为“三公”经费年初预算数，决算数包括当年一般公共预算财政拨款</w:t>
      </w:r>
    </w:p>
    <w:p>
      <w:pPr>
        <w:spacing w:line="360" w:lineRule="exact"/>
        <w:ind w:firstLine="540" w:firstLineChars="250"/>
        <w:rPr>
          <w:rFonts w:ascii="仿宋_GB2312" w:hAnsi="宋体" w:eastAsia="仿宋_GB2312"/>
          <w:sz w:val="22"/>
          <w:szCs w:val="22"/>
        </w:rPr>
      </w:pPr>
      <w:r>
        <w:rPr>
          <w:rFonts w:hint="eastAsia" w:ascii="仿宋_GB2312" w:hAnsi="宋体" w:eastAsia="仿宋_GB2312"/>
          <w:sz w:val="22"/>
          <w:szCs w:val="22"/>
        </w:rPr>
        <w:t>和以前年度结转资金安排的实际支出。</w:t>
      </w:r>
    </w:p>
    <w:p>
      <w:pPr>
        <w:jc w:val="center"/>
        <w:rPr>
          <w:rFonts w:ascii="仿宋_GB2312" w:hAnsi="宋体" w:eastAsia="仿宋_GB2312"/>
          <w:sz w:val="22"/>
          <w:szCs w:val="22"/>
        </w:rPr>
      </w:pPr>
    </w:p>
    <w:p>
      <w:pPr>
        <w:jc w:val="center"/>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公开08表</w:t>
      </w:r>
    </w:p>
    <w:p>
      <w:pPr>
        <w:wordWrap w:val="0"/>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部门：青岛市市北区人民法院（本级）                       2020年度                                 金额单位：元</w:t>
      </w:r>
    </w:p>
    <w:tbl>
      <w:tblPr>
        <w:tblStyle w:val="7"/>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Layout w:type="fixed"/>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31"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Layout w:type="fixed"/>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jc w:val="left"/>
        <w:rPr>
          <w:rFonts w:hint="eastAsia" w:ascii="仿宋_GB2312" w:hAnsi="宋体" w:eastAsia="仿宋_GB2312"/>
          <w:sz w:val="22"/>
          <w:szCs w:val="22"/>
        </w:rPr>
      </w:pPr>
      <w:r>
        <w:rPr>
          <w:rFonts w:hint="eastAsia" w:ascii="仿宋_GB2312" w:hAnsi="宋体" w:eastAsia="仿宋_GB2312"/>
          <w:sz w:val="22"/>
          <w:szCs w:val="22"/>
        </w:rPr>
        <w:t>注：本表反映部门本年度政府性基金预算财政拨款收入、支出及结转和结余情况。</w:t>
      </w:r>
    </w:p>
    <w:p>
      <w:pPr>
        <w:spacing w:line="600" w:lineRule="exact"/>
        <w:rPr>
          <w:rFonts w:ascii="仿宋_GB2312" w:eastAsia="仿宋_GB2312"/>
          <w:sz w:val="32"/>
          <w:szCs w:val="32"/>
        </w:rPr>
      </w:pPr>
      <w:r>
        <w:rPr>
          <w:rFonts w:hint="eastAsia" w:ascii="仿宋_GB2312" w:eastAsia="仿宋_GB2312"/>
          <w:sz w:val="32"/>
          <w:szCs w:val="32"/>
        </w:rPr>
        <w:t>说明：青岛市市北区人民法院没有政府性基金收入，也没有使用政府性基金安排的支出，故本表无数据。</w:t>
      </w:r>
    </w:p>
    <w:p>
      <w:pPr>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国有资本经营预算财政拨款支出决算表</w:t>
      </w:r>
    </w:p>
    <w:p>
      <w:pPr>
        <w:jc w:val="center"/>
        <w:rPr>
          <w:rFonts w:hint="eastAsia" w:ascii="仿宋_GB2312" w:hAnsi="宋体" w:eastAsia="仿宋_GB2312"/>
          <w:sz w:val="22"/>
          <w:szCs w:val="22"/>
        </w:rPr>
      </w:pPr>
      <w:r>
        <w:rPr>
          <w:rFonts w:hint="eastAsia" w:ascii="仿宋_GB2312" w:hAnsi="宋体" w:eastAsia="仿宋_GB2312"/>
          <w:sz w:val="22"/>
          <w:szCs w:val="22"/>
        </w:rPr>
        <w:t xml:space="preserve">                                                                                     </w:t>
      </w:r>
      <w:r>
        <w:rPr>
          <w:rFonts w:hint="eastAsia" w:asciiTheme="minorEastAsia" w:hAnsiTheme="minorEastAsia" w:eastAsiaTheme="minorEastAsia"/>
          <w:sz w:val="24"/>
        </w:rPr>
        <w:t>公开09表</w:t>
      </w:r>
    </w:p>
    <w:p>
      <w:pPr>
        <w:wordWrap w:val="0"/>
        <w:spacing w:line="400" w:lineRule="exact"/>
        <w:ind w:right="472"/>
        <w:rPr>
          <w:rFonts w:asciiTheme="minorEastAsia" w:hAnsiTheme="minorEastAsia" w:eastAsiaTheme="minorEastAsia"/>
          <w:sz w:val="24"/>
        </w:rPr>
      </w:pPr>
      <w:r>
        <w:rPr>
          <w:rFonts w:hint="eastAsia" w:asciiTheme="minorEastAsia" w:hAnsiTheme="minorEastAsia" w:eastAsiaTheme="minorEastAsia"/>
          <w:sz w:val="24"/>
        </w:rPr>
        <w:t xml:space="preserve">           部门：青岛市市北区人民法院（本级）               2020年度                    金额单位：元</w:t>
      </w:r>
    </w:p>
    <w:tbl>
      <w:tblPr>
        <w:tblStyle w:val="7"/>
        <w:tblW w:w="11481" w:type="dxa"/>
        <w:tblInd w:w="1101" w:type="dxa"/>
        <w:tblLayout w:type="fixed"/>
        <w:tblCellMar>
          <w:top w:w="0" w:type="dxa"/>
          <w:left w:w="108" w:type="dxa"/>
          <w:bottom w:w="0" w:type="dxa"/>
          <w:right w:w="108" w:type="dxa"/>
        </w:tblCellMar>
      </w:tblPr>
      <w:tblGrid>
        <w:gridCol w:w="3543"/>
        <w:gridCol w:w="2127"/>
        <w:gridCol w:w="2126"/>
        <w:gridCol w:w="1984"/>
        <w:gridCol w:w="1701"/>
      </w:tblGrid>
      <w:tr>
        <w:tblPrEx>
          <w:tblLayout w:type="fixed"/>
          <w:tblCellMar>
            <w:top w:w="0" w:type="dxa"/>
            <w:left w:w="108" w:type="dxa"/>
            <w:bottom w:w="0" w:type="dxa"/>
            <w:right w:w="108" w:type="dxa"/>
          </w:tblCellMar>
        </w:tblPrEx>
        <w:trPr>
          <w:trHeight w:val="255" w:hRule="atLeast"/>
        </w:trPr>
        <w:tc>
          <w:tcPr>
            <w:tcW w:w="5670"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5811" w:type="dxa"/>
            <w:gridSpan w:val="3"/>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trHeight w:val="610" w:hRule="atLeast"/>
        </w:trPr>
        <w:tc>
          <w:tcPr>
            <w:tcW w:w="3543"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12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12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198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70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trHeight w:val="610" w:hRule="atLeast"/>
        </w:trPr>
        <w:tc>
          <w:tcPr>
            <w:tcW w:w="3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7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610" w:hRule="atLeast"/>
        </w:trPr>
        <w:tc>
          <w:tcPr>
            <w:tcW w:w="3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7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255" w:hRule="atLeast"/>
        </w:trPr>
        <w:tc>
          <w:tcPr>
            <w:tcW w:w="567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Layout w:type="fixed"/>
          <w:tblCellMar>
            <w:top w:w="0" w:type="dxa"/>
            <w:left w:w="108" w:type="dxa"/>
            <w:bottom w:w="0" w:type="dxa"/>
            <w:right w:w="108" w:type="dxa"/>
          </w:tblCellMar>
        </w:tblPrEx>
        <w:trPr>
          <w:trHeight w:val="255" w:hRule="atLeast"/>
        </w:trPr>
        <w:tc>
          <w:tcPr>
            <w:tcW w:w="567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21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98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Layout w:type="fixed"/>
          <w:tblCellMar>
            <w:top w:w="0" w:type="dxa"/>
            <w:left w:w="108" w:type="dxa"/>
            <w:bottom w:w="0" w:type="dxa"/>
            <w:right w:w="108" w:type="dxa"/>
          </w:tblCellMar>
        </w:tblPrEx>
        <w:trPr>
          <w:trHeight w:val="255" w:hRule="atLeast"/>
        </w:trPr>
        <w:tc>
          <w:tcPr>
            <w:tcW w:w="354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12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1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8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bl>
    <w:p>
      <w:pPr>
        <w:jc w:val="left"/>
        <w:rPr>
          <w:rFonts w:hint="eastAsia" w:ascii="宋体" w:hAnsi="宋体" w:cs="Arial"/>
          <w:kern w:val="0"/>
          <w:sz w:val="20"/>
          <w:szCs w:val="20"/>
        </w:rPr>
      </w:pPr>
      <w:r>
        <w:rPr>
          <w:rFonts w:hint="eastAsia" w:ascii="宋体" w:hAnsi="宋体" w:cs="Arial"/>
          <w:kern w:val="0"/>
          <w:sz w:val="20"/>
          <w:szCs w:val="20"/>
        </w:rPr>
        <w:t xml:space="preserve">           注：本表反映部门本年度国有资本经营预算财政拨款支出情况。</w:t>
      </w:r>
    </w:p>
    <w:p>
      <w:pPr>
        <w:jc w:val="left"/>
        <w:rPr>
          <w:rFonts w:ascii="仿宋_GB2312" w:eastAsia="仿宋_GB2312"/>
          <w:sz w:val="32"/>
          <w:szCs w:val="32"/>
        </w:rPr>
      </w:pPr>
      <w:r>
        <w:rPr>
          <w:rFonts w:hint="eastAsia" w:ascii="宋体" w:hAnsi="宋体" w:cs="Arial"/>
          <w:kern w:val="0"/>
          <w:sz w:val="20"/>
          <w:szCs w:val="20"/>
        </w:rPr>
        <w:t xml:space="preserve">       </w:t>
      </w:r>
      <w:r>
        <w:rPr>
          <w:rFonts w:hint="eastAsia" w:ascii="仿宋_GB2312" w:hAnsi="宋体" w:eastAsia="仿宋_GB2312" w:cs="Arial"/>
          <w:kern w:val="0"/>
          <w:sz w:val="20"/>
          <w:szCs w:val="20"/>
        </w:rPr>
        <w:t xml:space="preserve">  </w:t>
      </w:r>
      <w:r>
        <w:rPr>
          <w:rFonts w:hint="eastAsia" w:ascii="仿宋_GB2312" w:hAnsi="仿宋" w:eastAsia="仿宋_GB2312" w:cs="Arial"/>
          <w:kern w:val="0"/>
          <w:sz w:val="32"/>
          <w:szCs w:val="32"/>
        </w:rPr>
        <w:t xml:space="preserve"> 说明</w:t>
      </w:r>
      <w:r>
        <w:rPr>
          <w:rFonts w:hint="eastAsia" w:ascii="仿宋_GB2312" w:eastAsia="仿宋_GB2312"/>
          <w:sz w:val="32"/>
          <w:szCs w:val="32"/>
        </w:rPr>
        <w:t>：青岛市市北区人民法院没有国有资本经营预算财政拨款收入，也没有使用国有资本经营预算财政拨款安排的支出，故本表无数据。</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 xml:space="preserve"> 2020年度部门决算情况             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hint="eastAsia" w:ascii="黑体" w:eastAsia="黑体"/>
          <w:b/>
          <w:sz w:val="30"/>
          <w:szCs w:val="30"/>
        </w:rPr>
      </w:pPr>
    </w:p>
    <w:p>
      <w:pPr>
        <w:rPr>
          <w:rFonts w:ascii="黑体" w:eastAsia="黑体"/>
          <w:b/>
          <w:sz w:val="30"/>
          <w:szCs w:val="30"/>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一、2020年部门决算情况说明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（一）收入支出决算总体情况</w:t>
      </w:r>
    </w:p>
    <w:p>
      <w:pPr>
        <w:spacing w:line="580" w:lineRule="exact"/>
        <w:ind w:firstLine="640" w:firstLineChars="200"/>
        <w:rPr>
          <w:rFonts w:ascii="楷体_GB2312" w:eastAsia="楷体_GB2312"/>
          <w:sz w:val="32"/>
          <w:szCs w:val="32"/>
        </w:rPr>
      </w:pPr>
      <w:r>
        <w:rPr>
          <w:rFonts w:hint="eastAsia" w:ascii="仿宋" w:hAnsi="仿宋" w:eastAsia="仿宋"/>
          <w:color w:val="000000"/>
          <w:sz w:val="32"/>
          <w:szCs w:val="32"/>
        </w:rPr>
        <w:t>青岛市市北区人民法院</w:t>
      </w:r>
      <w:r>
        <w:rPr>
          <w:rFonts w:hint="eastAsia" w:ascii="仿宋_GB2312" w:eastAsia="仿宋_GB2312"/>
          <w:color w:val="000000"/>
          <w:sz w:val="32"/>
          <w:szCs w:val="32"/>
        </w:rPr>
        <w:t>2020年度收入总计9640万元，支出总计9708.10万元，</w:t>
      </w:r>
      <w:r>
        <w:rPr>
          <w:rFonts w:hint="eastAsia" w:ascii="仿宋" w:hAnsi="仿宋" w:eastAsia="仿宋"/>
          <w:color w:val="000000"/>
          <w:sz w:val="32"/>
          <w:szCs w:val="32"/>
        </w:rPr>
        <w:t>包括下属事业单位青岛市市北区人民法院司法鉴定委托管理中心人员经费</w:t>
      </w:r>
      <w:r>
        <w:rPr>
          <w:rFonts w:hint="eastAsia" w:ascii="仿宋" w:hAnsi="仿宋" w:eastAsia="仿宋"/>
          <w:color w:val="000000" w:themeColor="text1"/>
          <w:sz w:val="32"/>
          <w:szCs w:val="32"/>
        </w:rPr>
        <w:t>404.45</w:t>
      </w:r>
      <w:r>
        <w:rPr>
          <w:rFonts w:hint="eastAsia" w:ascii="仿宋" w:hAnsi="仿宋" w:eastAsia="仿宋"/>
          <w:color w:val="000000"/>
          <w:sz w:val="32"/>
          <w:szCs w:val="32"/>
        </w:rPr>
        <w:t>万元</w:t>
      </w:r>
      <w:r>
        <w:rPr>
          <w:rFonts w:hint="eastAsia" w:ascii="仿宋_GB2312" w:eastAsia="仿宋_GB2312"/>
          <w:color w:val="000000"/>
          <w:sz w:val="32"/>
          <w:szCs w:val="32"/>
        </w:rPr>
        <w:t>。与2019年相比，2020年全年收入减少1677.72万元，降低14.82%；全年支出减少1556.62万元，降低13.82%。</w:t>
      </w:r>
      <w:r>
        <w:rPr>
          <w:rFonts w:hint="eastAsia" w:ascii="仿宋" w:hAnsi="仿宋" w:eastAsia="仿宋"/>
          <w:color w:val="000000"/>
          <w:sz w:val="32"/>
          <w:szCs w:val="32"/>
        </w:rPr>
        <w:t>总体而言，本年收入较去年降幅较大，支出</w:t>
      </w:r>
      <w:r>
        <w:rPr>
          <w:rFonts w:hint="eastAsia" w:ascii="仿宋_GB2312" w:eastAsia="仿宋_GB2312"/>
          <w:color w:val="000000"/>
          <w:sz w:val="32"/>
          <w:szCs w:val="32"/>
        </w:rPr>
        <w:t>也相应减少，</w:t>
      </w:r>
      <w:r>
        <w:rPr>
          <w:rFonts w:hint="eastAsia" w:ascii="仿宋" w:hAnsi="仿宋" w:eastAsia="仿宋"/>
          <w:sz w:val="32"/>
          <w:szCs w:val="32"/>
        </w:rPr>
        <w:t>主要是人员经费支出和项目支出中电子卷宗集中扫描支</w:t>
      </w:r>
      <w:r>
        <w:rPr>
          <w:rFonts w:hint="eastAsia" w:ascii="仿宋" w:hAnsi="仿宋" w:eastAsia="仿宋"/>
          <w:sz w:val="32"/>
          <w:szCs w:val="32"/>
          <w:lang w:eastAsia="zh-CN"/>
        </w:rPr>
        <w:t>出</w:t>
      </w:r>
      <w:r>
        <w:rPr>
          <w:rFonts w:hint="eastAsia" w:ascii="仿宋" w:hAnsi="仿宋" w:eastAsia="仿宋"/>
          <w:sz w:val="32"/>
          <w:szCs w:val="32"/>
        </w:rPr>
        <w:t>等办案业务费</w:t>
      </w:r>
      <w:r>
        <w:rPr>
          <w:rFonts w:hint="eastAsia" w:ascii="仿宋" w:hAnsi="仿宋" w:eastAsia="仿宋"/>
          <w:sz w:val="32"/>
          <w:szCs w:val="32"/>
          <w:lang w:eastAsia="zh-CN"/>
        </w:rPr>
        <w:t>以及部分资本性支出</w:t>
      </w:r>
      <w:r>
        <w:rPr>
          <w:rFonts w:hint="eastAsia" w:ascii="仿宋" w:hAnsi="仿宋" w:eastAsia="仿宋"/>
          <w:sz w:val="32"/>
          <w:szCs w:val="32"/>
        </w:rPr>
        <w:t>减少较大。</w:t>
      </w:r>
    </w:p>
    <w:p>
      <w:pPr>
        <w:spacing w:line="58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（二）收入决算情况</w:t>
      </w:r>
    </w:p>
    <w:p>
      <w:pPr>
        <w:spacing w:line="580" w:lineRule="exact"/>
        <w:ind w:firstLine="640" w:firstLineChars="200"/>
        <w:rPr>
          <w:rFonts w:ascii="仿宋_GB2312" w:eastAsia="仿宋_GB2312"/>
          <w:sz w:val="32"/>
          <w:szCs w:val="32"/>
        </w:rPr>
      </w:pPr>
      <w:r>
        <w:rPr>
          <w:rFonts w:hint="eastAsia" w:ascii="仿宋" w:hAnsi="仿宋" w:eastAsia="仿宋"/>
          <w:color w:val="000000"/>
          <w:sz w:val="32"/>
          <w:szCs w:val="32"/>
        </w:rPr>
        <w:t>青岛市市北区人民法院</w:t>
      </w:r>
      <w:r>
        <w:rPr>
          <w:rFonts w:hint="eastAsia" w:ascii="仿宋_GB2312" w:eastAsia="仿宋_GB2312"/>
          <w:color w:val="000000"/>
          <w:sz w:val="32"/>
          <w:szCs w:val="32"/>
        </w:rPr>
        <w:t>2020年度本年收入9640万元，</w:t>
      </w:r>
      <w:r>
        <w:rPr>
          <w:rFonts w:hint="eastAsia" w:ascii="仿宋" w:hAnsi="仿宋" w:eastAsia="仿宋"/>
          <w:color w:val="000000"/>
          <w:sz w:val="32"/>
          <w:szCs w:val="32"/>
        </w:rPr>
        <w:t>包括下属事业单位青岛市市北区人民法院司法鉴定委托管理中心人员经费445.95万元。</w:t>
      </w:r>
      <w:r>
        <w:rPr>
          <w:rFonts w:hint="eastAsia" w:ascii="仿宋_GB2312" w:eastAsia="仿宋_GB2312"/>
          <w:color w:val="000000"/>
          <w:sz w:val="32"/>
          <w:szCs w:val="32"/>
        </w:rPr>
        <w:t>全部为财政拨款收入</w:t>
      </w:r>
      <w:r>
        <w:rPr>
          <w:rFonts w:hint="eastAsia" w:ascii="仿宋_GB2312" w:eastAsia="仿宋_GB2312"/>
          <w:sz w:val="32"/>
          <w:szCs w:val="32"/>
        </w:rPr>
        <w:t>。</w:t>
      </w:r>
    </w:p>
    <w:p>
      <w:pPr>
        <w:spacing w:line="580" w:lineRule="exact"/>
        <w:rPr>
          <w:rFonts w:ascii="楷体_GB2312" w:eastAsia="楷体_GB2312"/>
          <w:sz w:val="32"/>
          <w:szCs w:val="32"/>
        </w:rPr>
      </w:pPr>
      <w:r>
        <w:rPr>
          <w:rFonts w:hint="eastAsia" w:ascii="仿宋_GB2312" w:eastAsia="仿宋_GB2312"/>
          <w:b/>
          <w:sz w:val="32"/>
          <w:szCs w:val="32"/>
        </w:rPr>
        <w:t xml:space="preserve">   </w:t>
      </w:r>
      <w:r>
        <w:rPr>
          <w:rFonts w:hint="eastAsia" w:ascii="楷体_GB2312" w:eastAsia="楷体_GB2312"/>
          <w:sz w:val="32"/>
          <w:szCs w:val="32"/>
        </w:rPr>
        <w:t>（三）支出决算情况</w:t>
      </w:r>
    </w:p>
    <w:p>
      <w:pPr>
        <w:spacing w:line="580" w:lineRule="exact"/>
        <w:ind w:firstLine="640" w:firstLineChars="200"/>
        <w:rPr>
          <w:rFonts w:ascii="仿宋_GB2312" w:eastAsia="仿宋_GB2312"/>
          <w:sz w:val="32"/>
          <w:szCs w:val="32"/>
        </w:rPr>
      </w:pPr>
      <w:r>
        <w:rPr>
          <w:rFonts w:hint="eastAsia" w:ascii="仿宋" w:hAnsi="仿宋" w:eastAsia="仿宋"/>
          <w:color w:val="000000"/>
          <w:sz w:val="32"/>
          <w:szCs w:val="32"/>
        </w:rPr>
        <w:t>青岛市市北区人民法院</w:t>
      </w:r>
      <w:r>
        <w:rPr>
          <w:rFonts w:hint="eastAsia" w:ascii="仿宋_GB2312" w:eastAsia="仿宋_GB2312"/>
          <w:color w:val="000000"/>
          <w:sz w:val="32"/>
          <w:szCs w:val="32"/>
        </w:rPr>
        <w:t>2020年度本年支出9708.10万元，</w:t>
      </w:r>
      <w:r>
        <w:rPr>
          <w:rFonts w:hint="eastAsia" w:ascii="仿宋" w:hAnsi="仿宋" w:eastAsia="仿宋"/>
          <w:color w:val="000000"/>
          <w:sz w:val="32"/>
          <w:szCs w:val="32"/>
        </w:rPr>
        <w:t>包括下属青岛市市北区人民法院司法鉴定</w:t>
      </w:r>
      <w:r>
        <w:rPr>
          <w:rFonts w:hint="eastAsia" w:ascii="仿宋" w:hAnsi="仿宋" w:eastAsia="仿宋"/>
          <w:sz w:val="32"/>
          <w:szCs w:val="32"/>
        </w:rPr>
        <w:t>委托管理中心人员经费404.45万元，</w:t>
      </w:r>
      <w:r>
        <w:rPr>
          <w:rFonts w:hint="eastAsia" w:ascii="仿宋_GB2312" w:eastAsia="仿宋_GB2312"/>
          <w:sz w:val="32"/>
          <w:szCs w:val="32"/>
        </w:rPr>
        <w:t>其中：基本支出6896.05万元，占71.03 %；项目支出2812.05万元，占28.97%。</w:t>
      </w:r>
    </w:p>
    <w:p>
      <w:pPr>
        <w:spacing w:line="580" w:lineRule="exact"/>
        <w:rPr>
          <w:rFonts w:ascii="楷体_GB2312" w:eastAsia="楷体_GB2312"/>
          <w:sz w:val="32"/>
          <w:szCs w:val="32"/>
        </w:rPr>
      </w:pPr>
      <w:r>
        <w:rPr>
          <w:rFonts w:hint="eastAsia" w:ascii="仿宋_GB2312" w:eastAsia="仿宋_GB2312"/>
          <w:b/>
          <w:sz w:val="32"/>
          <w:szCs w:val="32"/>
        </w:rPr>
        <w:t xml:space="preserve">   </w:t>
      </w:r>
      <w:r>
        <w:rPr>
          <w:rFonts w:hint="eastAsia" w:ascii="楷体_GB2312" w:eastAsia="楷体_GB2312"/>
          <w:sz w:val="32"/>
          <w:szCs w:val="32"/>
        </w:rPr>
        <w:t>（四）财政拨款收入支出决算总体情况</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color w:val="000000"/>
          <w:sz w:val="32"/>
          <w:szCs w:val="32"/>
        </w:rPr>
        <w:t>青岛市市北区人民法院2020年度财政拨款收入决算总计11051.2万元，包括下属事业单位青岛市市北区人民法院司法鉴定委托管理中心人员经费404.45万元。其中：一般公共预算财政拨款9640万元，占87.23%；无政府性基金预算财政拨款；年初财政拨款结转和结余1411.20万元，占12.77%。</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color w:val="000000"/>
          <w:sz w:val="32"/>
          <w:szCs w:val="32"/>
        </w:rPr>
        <w:t>青岛市市北区人民法院2020年度财政拨款支出决算总计11051.2万元，包括下属事业单位青岛市市北区人民法院司法鉴定委托管理中心人员经费404.45万元。其中：财政拨款公共安全支出9358.30万元，占84.68%，财政拨款社会保障和就业支出349.8万元，占3.17%（注：该项为政法编制干警社保缴费，以前年度归并至公共安全支出中的基本支出，本年度单列）；年末财政拨款结转和结余1343.1万元，占12.15%。</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与2019年相比，</w:t>
      </w: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财政拨款收、支总计各减少1624.78万元，降幅12.82%。主要是较去年减少了人员经费支出，除此之外按照上级要求相关办案办公费用及资本性支出也相应压减。</w:t>
      </w:r>
    </w:p>
    <w:p>
      <w:pPr>
        <w:spacing w:line="580" w:lineRule="exact"/>
        <w:ind w:firstLine="600"/>
        <w:rPr>
          <w:rFonts w:ascii="楷体_GB2312" w:eastAsia="楷体_GB2312"/>
          <w:sz w:val="32"/>
          <w:szCs w:val="32"/>
        </w:rPr>
      </w:pPr>
      <w:r>
        <w:rPr>
          <w:rFonts w:hint="eastAsia" w:ascii="楷体_GB2312" w:eastAsia="楷体_GB2312"/>
          <w:sz w:val="32"/>
          <w:szCs w:val="32"/>
        </w:rPr>
        <w:t>（五）一般公共预算财政拨款支出决算情况</w:t>
      </w:r>
    </w:p>
    <w:p>
      <w:pPr>
        <w:spacing w:line="58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1、一般公共预算财政拨款支出决算总体情况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青岛市市北区人民法院2020年度本年支出9708.10万元，包括下属青岛市市北区人民法院司法鉴定</w:t>
      </w:r>
      <w:r>
        <w:rPr>
          <w:rFonts w:hint="eastAsia" w:ascii="仿宋" w:hAnsi="仿宋" w:eastAsia="仿宋" w:cs="仿宋"/>
          <w:sz w:val="32"/>
          <w:szCs w:val="32"/>
        </w:rPr>
        <w:t>委托管理中心人员经费404.45万元，本年支出全部为一般公共预算财政拨款支出。与2019年相比，一般公共预算财政拨款支出</w:t>
      </w:r>
      <w:r>
        <w:rPr>
          <w:rFonts w:hint="eastAsia" w:ascii="仿宋" w:hAnsi="仿宋" w:eastAsia="仿宋" w:cs="仿宋"/>
          <w:color w:val="000000"/>
          <w:sz w:val="32"/>
          <w:szCs w:val="32"/>
        </w:rPr>
        <w:t>减少1556.62万元，降低13.82%。</w:t>
      </w:r>
      <w:r>
        <w:rPr>
          <w:rFonts w:hint="eastAsia" w:ascii="仿宋" w:hAnsi="仿宋" w:eastAsia="仿宋" w:cs="仿宋"/>
          <w:sz w:val="32"/>
          <w:szCs w:val="32"/>
        </w:rPr>
        <w:t>主要是较去年减少了人员经费支出，除此之外按照上级要求相关办案办公费用及资本性支出也相应压减。</w:t>
      </w:r>
    </w:p>
    <w:p>
      <w:pPr>
        <w:spacing w:line="580" w:lineRule="exact"/>
        <w:ind w:firstLine="640" w:firstLineChars="200"/>
        <w:rPr>
          <w:rFonts w:hint="eastAsia" w:ascii="仿宋" w:hAnsi="仿宋" w:eastAsia="仿宋" w:cs="仿宋"/>
          <w:b/>
          <w:bCs w:val="0"/>
          <w:sz w:val="32"/>
          <w:szCs w:val="32"/>
        </w:rPr>
      </w:pPr>
      <w:r>
        <w:rPr>
          <w:rFonts w:hint="eastAsia" w:ascii="仿宋" w:hAnsi="仿宋" w:eastAsia="仿宋" w:cs="仿宋"/>
          <w:b/>
          <w:bCs w:val="0"/>
          <w:sz w:val="32"/>
          <w:szCs w:val="32"/>
        </w:rPr>
        <w:t>2、一般公共预算财政拨款支出决算结构情况</w:t>
      </w:r>
    </w:p>
    <w:p>
      <w:pPr>
        <w:spacing w:line="580" w:lineRule="exact"/>
        <w:ind w:firstLine="640" w:firstLineChars="200"/>
        <w:rPr>
          <w:rFonts w:ascii="仿宋_GB2312" w:eastAsia="仿宋_GB2312"/>
          <w:sz w:val="32"/>
          <w:szCs w:val="32"/>
        </w:rPr>
      </w:pPr>
      <w:r>
        <w:rPr>
          <w:rFonts w:hint="eastAsia" w:ascii="仿宋" w:hAnsi="仿宋" w:eastAsia="仿宋" w:cs="仿宋"/>
          <w:color w:val="000000"/>
          <w:sz w:val="32"/>
          <w:szCs w:val="32"/>
        </w:rPr>
        <w:t>青岛市市北区人民法院2020年度本年支出9708.10万元，包括下属青岛市市北区人民法院司法鉴定</w:t>
      </w:r>
      <w:r>
        <w:rPr>
          <w:rFonts w:hint="eastAsia" w:ascii="仿宋" w:hAnsi="仿宋" w:eastAsia="仿宋" w:cs="仿宋"/>
          <w:sz w:val="32"/>
          <w:szCs w:val="32"/>
        </w:rPr>
        <w:t>委托管理中心人员经费404.45万元，其中：基本支出6896.05万元，占71.03 %；项目支出2812.05万元，占28.97%。</w:t>
      </w:r>
    </w:p>
    <w:p>
      <w:pPr>
        <w:spacing w:line="580" w:lineRule="exact"/>
        <w:ind w:firstLine="640" w:firstLineChars="200"/>
        <w:rPr>
          <w:rFonts w:ascii="仿宋_GB2312" w:eastAsia="仿宋_GB2312"/>
          <w:sz w:val="32"/>
          <w:szCs w:val="32"/>
        </w:rPr>
      </w:pPr>
      <w:r>
        <w:rPr>
          <w:rFonts w:hint="eastAsia" w:ascii="仿宋" w:hAnsi="仿宋" w:eastAsia="仿宋" w:cs="仿宋"/>
          <w:b/>
          <w:bCs/>
          <w:sz w:val="32"/>
          <w:szCs w:val="32"/>
        </w:rPr>
        <w:t>3、一般公共预算财政拨款支出决算具体情况</w:t>
      </w:r>
    </w:p>
    <w:p>
      <w:pPr>
        <w:spacing w:line="580" w:lineRule="exact"/>
        <w:ind w:firstLine="640" w:firstLineChars="200"/>
        <w:rPr>
          <w:rFonts w:ascii="仿宋_GB2312" w:eastAsia="仿宋_GB2312"/>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2020年度一般公共预算财政拨款支出年初预算为9404.45万元，</w:t>
      </w:r>
      <w:r>
        <w:rPr>
          <w:rFonts w:hint="eastAsia" w:ascii="仿宋" w:hAnsi="仿宋" w:eastAsia="仿宋" w:cs="仿宋"/>
          <w:color w:val="000000"/>
          <w:sz w:val="32"/>
          <w:szCs w:val="32"/>
        </w:rPr>
        <w:t>包括下属事业单位青岛市市北区人民法院司法鉴定委托管理中心人员经费预算为450万元，</w:t>
      </w:r>
      <w:r>
        <w:rPr>
          <w:rFonts w:hint="eastAsia" w:ascii="仿宋" w:hAnsi="仿宋" w:eastAsia="仿宋" w:cs="仿宋"/>
          <w:sz w:val="32"/>
          <w:szCs w:val="32"/>
        </w:rPr>
        <w:t>支出决算为9708.1万元，完成年初预算的103.23%，其中：基本支出6896.05万元，项目支出2812.05万元。前者主要包括人员经费6277.68万元和公用经费618.37万元，后者主要包括案件审判与执行工作经费及市专款。而决算数略大于年初预算数的主要是按规定使用以前年度市专款结余。</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案件审判与执行工作经费</w:t>
      </w:r>
      <w:r>
        <w:rPr>
          <w:rFonts w:hint="eastAsia" w:ascii="仿宋" w:hAnsi="仿宋" w:eastAsia="仿宋"/>
          <w:sz w:val="32"/>
          <w:szCs w:val="32"/>
        </w:rPr>
        <w:t>，年初预算数为3100万元，决算数为2301.33万元</w:t>
      </w:r>
      <w:r>
        <w:rPr>
          <w:rFonts w:hint="eastAsia" w:ascii="仿宋" w:hAnsi="仿宋" w:eastAsia="仿宋"/>
          <w:b/>
          <w:sz w:val="32"/>
          <w:szCs w:val="32"/>
        </w:rPr>
        <w:t>。</w:t>
      </w:r>
      <w:r>
        <w:rPr>
          <w:rFonts w:hint="eastAsia" w:ascii="仿宋" w:hAnsi="仿宋" w:eastAsia="仿宋"/>
          <w:sz w:val="32"/>
          <w:szCs w:val="32"/>
        </w:rPr>
        <w:t>项目经费</w:t>
      </w:r>
      <w:r>
        <w:rPr>
          <w:rFonts w:hint="eastAsia" w:ascii="仿宋" w:hAnsi="仿宋" w:eastAsia="仿宋"/>
          <w:color w:val="000000"/>
          <w:sz w:val="32"/>
          <w:szCs w:val="32"/>
        </w:rPr>
        <w:t>差额主要原因：在预算执行过程中，实际情况发生较大变化，纳入一般公共预算的财政项目经费拨款收入相应减少，相应项目支出随之减少。</w:t>
      </w:r>
    </w:p>
    <w:p>
      <w:pPr>
        <w:spacing w:line="580" w:lineRule="exact"/>
        <w:ind w:firstLine="600"/>
        <w:rPr>
          <w:rFonts w:ascii="楷体_GB2312" w:eastAsia="楷体_GB2312"/>
          <w:sz w:val="32"/>
          <w:szCs w:val="32"/>
        </w:rPr>
      </w:pPr>
      <w:r>
        <w:rPr>
          <w:rFonts w:hint="eastAsia" w:ascii="楷体_GB2312" w:eastAsia="楷体_GB2312"/>
          <w:sz w:val="32"/>
          <w:szCs w:val="32"/>
        </w:rPr>
        <w:t>（六）一般公共预算财政拨款基本支出决算情况</w:t>
      </w:r>
    </w:p>
    <w:p>
      <w:pPr>
        <w:spacing w:line="580" w:lineRule="exact"/>
        <w:ind w:firstLine="600"/>
        <w:rPr>
          <w:rFonts w:hint="eastAsia" w:ascii="仿宋" w:hAnsi="仿宋" w:eastAsia="仿宋" w:cs="仿宋"/>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2020年度一般公共预算财政拨款基本支出6896.05万元，包括人员经费和公用经费，支出具体情况如下：</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人员经费6277.68万元，其中工资福利支出5708.04万元，其他对个人和家庭的补助支出569.64万元。主要包括：基本工资、津贴补贴、奖金、机关事业单位基本养老保险费、职工基本医疗保险缴费、伙食补助费、绩效工资、其他工资福利支出、离休费、退休费、抚恤金、生活补助、医疗费补助、助学金、奖励金、住房公积金等。</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公用经费618.37万元，主要包括：办公费、印刷费、咨询费、手续费、水费、电费、邮电费、取暖费、物业管理费、差旅费、因公出国（境）费、维修（护）费、租赁费、会议费、培训费、公务招待费、专用材料费、劳务费、委托业务费、工会经费、福利费、公务用车运行维护费、其他交通费用、其他商品和服务支出等。</w:t>
      </w:r>
    </w:p>
    <w:p>
      <w:pPr>
        <w:spacing w:line="580" w:lineRule="exact"/>
        <w:ind w:firstLine="600"/>
        <w:rPr>
          <w:rFonts w:ascii="楷体_GB2312" w:eastAsia="楷体_GB2312"/>
          <w:sz w:val="32"/>
          <w:szCs w:val="32"/>
        </w:rPr>
      </w:pPr>
      <w:r>
        <w:rPr>
          <w:rFonts w:hint="eastAsia" w:ascii="楷体_GB2312" w:eastAsia="楷体_GB2312"/>
          <w:sz w:val="32"/>
          <w:szCs w:val="32"/>
        </w:rPr>
        <w:t>（七）一般公共预算财政拨款“三公”经费支出决算情况</w:t>
      </w:r>
    </w:p>
    <w:p>
      <w:pPr>
        <w:spacing w:line="580" w:lineRule="exact"/>
        <w:ind w:firstLine="600"/>
        <w:rPr>
          <w:rFonts w:hint="eastAsia" w:ascii="仿宋" w:hAnsi="仿宋" w:eastAsia="仿宋" w:cs="仿宋"/>
          <w:b/>
          <w:bCs/>
          <w:sz w:val="32"/>
          <w:szCs w:val="32"/>
        </w:rPr>
      </w:pPr>
      <w:r>
        <w:rPr>
          <w:rFonts w:hint="eastAsia" w:ascii="仿宋" w:hAnsi="仿宋" w:eastAsia="仿宋" w:cs="仿宋"/>
          <w:b/>
          <w:bCs/>
          <w:sz w:val="32"/>
          <w:szCs w:val="32"/>
        </w:rPr>
        <w:t>1、“三公”经费支出情况及增减变动原因</w:t>
      </w:r>
    </w:p>
    <w:p>
      <w:pPr>
        <w:spacing w:line="580" w:lineRule="exact"/>
        <w:ind w:firstLine="600"/>
        <w:rPr>
          <w:rFonts w:hint="eastAsia" w:ascii="仿宋" w:hAnsi="仿宋" w:eastAsia="仿宋" w:cs="仿宋"/>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三公”经费决算数为60.65万元（含院本级及1个所属经费自理事业单位），全为公务用车购置及运行维护费60.65万元，其中：公务用车购置费0万元，公务用车运行维护费60.65万元，占100%。无因公出国（境）费和公务接待费。</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2020年度一般公共预算财政拨款“三公”经费决算数比年初预算数减少53.73万元，本年度无公务用车购置预算，全为公车运行维护费减少金额;公务接待费较年初预算减少支出1.34万元。</w:t>
      </w:r>
    </w:p>
    <w:p>
      <w:pPr>
        <w:spacing w:line="58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2020年度一般公共预算财政拨款“三公”经费决算数比2019年减少126.77万元，降幅67.64%，其中：主要是本年度未更新车辆，公务用车购置支出相应减少91.5万元；公务用车运行维护费减少35.27万元，降幅36.77%，主要原因是去年解决历史遗留问题，偿付以前年度所欠部分车辆维修费33.37万元，剔除该因素，本年度车辆维修费基本与去年持平。</w:t>
      </w:r>
    </w:p>
    <w:p>
      <w:pPr>
        <w:spacing w:line="580" w:lineRule="exact"/>
        <w:ind w:firstLine="600"/>
        <w:rPr>
          <w:rFonts w:hint="eastAsia" w:ascii="仿宋" w:hAnsi="仿宋" w:eastAsia="仿宋" w:cs="仿宋"/>
          <w:b/>
          <w:bCs/>
          <w:sz w:val="32"/>
          <w:szCs w:val="32"/>
        </w:rPr>
      </w:pPr>
      <w:r>
        <w:rPr>
          <w:rFonts w:hint="eastAsia" w:ascii="仿宋" w:hAnsi="仿宋" w:eastAsia="仿宋" w:cs="仿宋"/>
          <w:b/>
          <w:bCs/>
          <w:sz w:val="32"/>
          <w:szCs w:val="32"/>
        </w:rPr>
        <w:t>2、“三公”经费支出相关情况说明</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(1) 因公出国（境）费指单位工作人员公务出国（境）的国际旅费、国外城市间交通费、住宿费、伙食费、培训费、公杂费等支出。2020年度，青岛市市北区人民法院无因公出国(境)费用。</w:t>
      </w:r>
    </w:p>
    <w:p>
      <w:pPr>
        <w:spacing w:line="580" w:lineRule="exact"/>
        <w:ind w:firstLine="589" w:firstLineChars="184"/>
        <w:rPr>
          <w:rFonts w:hint="eastAsia" w:ascii="仿宋" w:hAnsi="仿宋" w:eastAsia="仿宋" w:cs="仿宋"/>
          <w:sz w:val="32"/>
          <w:szCs w:val="32"/>
        </w:rPr>
      </w:pPr>
      <w:r>
        <w:rPr>
          <w:rFonts w:hint="eastAsia" w:ascii="仿宋" w:hAnsi="仿宋" w:eastAsia="仿宋" w:cs="仿宋"/>
          <w:sz w:val="32"/>
          <w:szCs w:val="32"/>
        </w:rPr>
        <w:t>(2) 公务用车购置及运行维护费指单位公务用车购置费（含车辆购置税）及按规定保留的公务用车燃料费、维修费、过路过桥费、保险费等支出。其中：公务用车购置费0元；公务用车运行维护费60.65万元。主要用于按规定保留的公务用车燃料费、维修费、过路过桥费、保险费等支出。</w:t>
      </w:r>
    </w:p>
    <w:p>
      <w:pPr>
        <w:spacing w:line="580" w:lineRule="exact"/>
        <w:ind w:firstLine="589" w:firstLineChars="184"/>
        <w:rPr>
          <w:rFonts w:hint="eastAsia" w:ascii="仿宋" w:hAnsi="仿宋" w:eastAsia="仿宋" w:cs="仿宋"/>
          <w:sz w:val="32"/>
          <w:szCs w:val="32"/>
        </w:rPr>
      </w:pPr>
      <w:r>
        <w:rPr>
          <w:rFonts w:hint="eastAsia" w:ascii="仿宋" w:hAnsi="仿宋" w:eastAsia="仿宋" w:cs="仿宋"/>
          <w:sz w:val="32"/>
          <w:szCs w:val="32"/>
        </w:rPr>
        <w:t>2020年末青岛市市北区人民法院财政拨款开支运行维护费的公务用车实际保有量为47辆，含上年度因新冠疫情影响待报废车辆4辆。截止至2020年度决算公开报告日，上述待报废4辆公务用车相关报废审批手续已经全部办妥，并相应核减账面数量，目前单位公务用车实际保有量为43辆。</w:t>
      </w:r>
    </w:p>
    <w:p>
      <w:pPr>
        <w:spacing w:line="580" w:lineRule="exact"/>
        <w:ind w:firstLine="601"/>
        <w:rPr>
          <w:rFonts w:hint="eastAsia" w:ascii="仿宋" w:hAnsi="仿宋" w:eastAsia="仿宋" w:cs="仿宋"/>
          <w:sz w:val="32"/>
          <w:szCs w:val="32"/>
        </w:rPr>
      </w:pPr>
      <w:r>
        <w:rPr>
          <w:rFonts w:hint="eastAsia" w:ascii="仿宋" w:hAnsi="仿宋" w:eastAsia="仿宋" w:cs="仿宋"/>
          <w:sz w:val="32"/>
          <w:szCs w:val="32"/>
        </w:rPr>
        <w:t xml:space="preserve"> (3) 公务接待费指单位按规定开支的各类公务接待（含外宾接待）支出。2020年度，青岛市市北区人民法院无公务接待费。</w:t>
      </w:r>
    </w:p>
    <w:p>
      <w:pPr>
        <w:spacing w:line="580" w:lineRule="exact"/>
        <w:ind w:firstLine="600"/>
        <w:rPr>
          <w:rFonts w:ascii="楷体_GB2312" w:eastAsia="楷体_GB2312"/>
          <w:sz w:val="32"/>
          <w:szCs w:val="32"/>
        </w:rPr>
      </w:pPr>
      <w:r>
        <w:rPr>
          <w:rFonts w:hint="eastAsia" w:ascii="楷体_GB2312" w:eastAsia="楷体_GB2312"/>
          <w:sz w:val="32"/>
          <w:szCs w:val="32"/>
        </w:rPr>
        <w:t>（八）政府性基金预算财政拨款收入支出决算情况</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青岛市市北区人民法院没有政府性基金收入，也没有使用政府性基金安排的支出，故本表无数据。</w:t>
      </w:r>
    </w:p>
    <w:p>
      <w:pPr>
        <w:spacing w:line="580" w:lineRule="exact"/>
        <w:ind w:firstLine="6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（九）国有资本经营预算财政拨款支出决算情况</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青岛市市北区人民法院没有国有资本经营预算财政拨款收入，也没有使用国有资本经营预算财政拨款安排的支出，故本表无数据。</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1"/>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left="160" w:leftChars="76" w:firstLine="438" w:firstLineChars="137"/>
        <w:rPr>
          <w:rFonts w:ascii="仿宋_GB2312" w:hAnsi="仿宋_GB2312" w:eastAsia="仿宋_GB2312"/>
          <w:sz w:val="32"/>
          <w:szCs w:val="32"/>
        </w:rPr>
      </w:pPr>
      <w:r>
        <w:rPr>
          <w:rFonts w:hint="eastAsia" w:ascii="仿宋_GB2312" w:hAnsi="仿宋" w:eastAsia="仿宋_GB2312"/>
          <w:color w:val="000000"/>
          <w:sz w:val="32"/>
          <w:szCs w:val="32"/>
          <w:lang w:val="en-US" w:eastAsia="zh-CN"/>
        </w:rPr>
        <w:t xml:space="preserve"> </w:t>
      </w: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机关运行经费支出618.37（含其他交通费用158.02万元）按可比口径计算，今年较去年降低11.55万元，下降2.45%，主要原因是：青岛市市北区人民法院积极响应和落实中央、省、市等上级机关要求，采取有效管控措施，进一步压缩办公费、差旅费、邮电费、公务用车运行维护费等机关运行经费各项开支。</w:t>
      </w:r>
    </w:p>
    <w:p>
      <w:pPr>
        <w:spacing w:line="580" w:lineRule="exact"/>
        <w:ind w:firstLine="601"/>
        <w:rPr>
          <w:rFonts w:ascii="楷体_GB2312" w:eastAsia="楷体_GB2312"/>
          <w:sz w:val="32"/>
          <w:szCs w:val="32"/>
        </w:rPr>
      </w:pPr>
      <w:r>
        <w:rPr>
          <w:rFonts w:hint="eastAsia" w:ascii="楷体_GB2312" w:eastAsia="楷体_GB2312"/>
          <w:sz w:val="32"/>
          <w:szCs w:val="32"/>
        </w:rPr>
        <w:t>（二）政府采购支出情况说明</w:t>
      </w:r>
    </w:p>
    <w:p>
      <w:pPr>
        <w:spacing w:line="580" w:lineRule="exact"/>
        <w:ind w:firstLine="600"/>
        <w:rPr>
          <w:rFonts w:hint="eastAsia" w:ascii="仿宋" w:hAnsi="仿宋" w:eastAsia="仿宋" w:cs="仿宋"/>
          <w:b/>
          <w:color w:val="00B0F0"/>
          <w:sz w:val="32"/>
          <w:szCs w:val="32"/>
        </w:rPr>
      </w:pPr>
      <w:r>
        <w:rPr>
          <w:rFonts w:hint="eastAsia" w:ascii="仿宋" w:hAnsi="仿宋" w:eastAsia="仿宋" w:cs="仿宋"/>
          <w:color w:val="000000"/>
          <w:sz w:val="32"/>
          <w:szCs w:val="32"/>
        </w:rPr>
        <w:t>青岛市市北区人民法院2020年度政府采购金额1918.71万元，其中：政府采购货物金额476.57万元、政府采购工程金额0万元、政府采购服务金额1442.14万元。本年度内未授予中小企业（含小微企业）政府采购合同。</w:t>
      </w:r>
    </w:p>
    <w:p>
      <w:pPr>
        <w:spacing w:line="580" w:lineRule="exact"/>
        <w:ind w:firstLine="600"/>
        <w:rPr>
          <w:rFonts w:ascii="楷体_GB2312" w:eastAsia="楷体_GB2312"/>
          <w:sz w:val="32"/>
          <w:szCs w:val="32"/>
          <w:highlight w:val="yellow"/>
        </w:rPr>
      </w:pPr>
      <w:r>
        <w:rPr>
          <w:rFonts w:hint="eastAsia" w:ascii="楷体_GB2312" w:eastAsia="楷体_GB2312"/>
          <w:sz w:val="32"/>
          <w:szCs w:val="32"/>
        </w:rPr>
        <w:t>（三）国有资产占用情况说明</w:t>
      </w:r>
    </w:p>
    <w:p>
      <w:pPr>
        <w:spacing w:line="580" w:lineRule="exact"/>
        <w:ind w:firstLine="600"/>
        <w:rPr>
          <w:rFonts w:ascii="仿宋_GB2312" w:hAnsi="宋体" w:eastAsia="仿宋_GB2312" w:cs="Courier New"/>
          <w:sz w:val="32"/>
          <w:szCs w:val="32"/>
        </w:rPr>
      </w:pPr>
      <w:r>
        <w:rPr>
          <w:rFonts w:hint="eastAsia" w:ascii="仿宋" w:hAnsi="仿宋" w:eastAsia="仿宋" w:cs="仿宋"/>
          <w:sz w:val="32"/>
          <w:szCs w:val="32"/>
        </w:rPr>
        <w:t>截至2020年底，</w:t>
      </w: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共有车辆47辆，其中，公务用车3 辆、一般执法执勤用车44辆（含待报废车辆4辆）、特种专业技术用车0辆、其他用车0辆；单位价值50万元以上通用设备 0台（套），单位价值100万元以上专用设备0台（套）。</w:t>
      </w:r>
    </w:p>
    <w:p>
      <w:pPr>
        <w:spacing w:line="58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（四）预算绩效管理工作开展情况说明</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1.预算绩效管理工作开展情况。</w:t>
      </w:r>
    </w:p>
    <w:p>
      <w:pPr>
        <w:snapToGrid w:val="0"/>
        <w:spacing w:line="30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青岛市市北区人民法院严格按照2020年年初设定的绩效目标科学管控、合理合规使用专项经费，并根据相关文件要求进行预算绩效管理和简要自我评价。2020年实行绩效目标管理的项目1个，即</w:t>
      </w:r>
      <w:r>
        <w:rPr>
          <w:rFonts w:hint="eastAsia" w:ascii="仿宋" w:hAnsi="仿宋" w:eastAsia="仿宋" w:cs="仿宋"/>
          <w:b/>
          <w:sz w:val="32"/>
          <w:szCs w:val="32"/>
        </w:rPr>
        <w:t>案件审判与执行工作经费，</w:t>
      </w:r>
      <w:r>
        <w:rPr>
          <w:rFonts w:hint="eastAsia" w:ascii="仿宋" w:hAnsi="仿宋" w:eastAsia="仿宋" w:cs="仿宋"/>
          <w:sz w:val="32"/>
          <w:szCs w:val="32"/>
        </w:rPr>
        <w:t>该项目涉及财政拨款2301.33万元，概要如下：</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案件审判与执行工作经费，年初预算数为3100万元，决算数为</w:t>
      </w:r>
      <w:r>
        <w:rPr>
          <w:rFonts w:hint="eastAsia" w:ascii="仿宋" w:hAnsi="仿宋" w:eastAsia="仿宋" w:cs="仿宋"/>
          <w:sz w:val="32"/>
          <w:szCs w:val="32"/>
        </w:rPr>
        <w:t>2301.33</w:t>
      </w:r>
      <w:r>
        <w:rPr>
          <w:rFonts w:hint="eastAsia" w:ascii="仿宋" w:hAnsi="仿宋" w:eastAsia="仿宋" w:cs="仿宋"/>
          <w:b/>
          <w:sz w:val="32"/>
          <w:szCs w:val="32"/>
        </w:rPr>
        <w:t>万元。</w:t>
      </w:r>
      <w:r>
        <w:rPr>
          <w:rFonts w:hint="eastAsia" w:ascii="仿宋" w:hAnsi="仿宋" w:eastAsia="仿宋" w:cs="仿宋"/>
          <w:sz w:val="32"/>
          <w:szCs w:val="32"/>
        </w:rPr>
        <w:t>主要包括青岛市市北区人民法院所属经费自理事业单位人员经费，在法院长期工作的其他工作人员经费，办公费，办案差旅费，邮电费，维修（护）费，办案装备购置以及信息化网络建设支出等，该项目经费专项用于弥补法院日常办公、办案经费不足。</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单位自我初评情况看，2020年，青岛市市北区人民法院坚持以收定支，优先安排和保障法院所属经费自理事业单位人员经费以及在法院长期工作的其他工作人员经费，能够做到专款专用，合理统筹安排资金，较好地发挥该项目经费专项用于弥补法院日常办公、办案经费不足的作用，提高司法公信力，基本保证审判与执行各项工作顺利运行。</w:t>
      </w:r>
    </w:p>
    <w:p>
      <w:pPr>
        <w:spacing w:line="580" w:lineRule="exact"/>
        <w:ind w:firstLine="600"/>
        <w:rPr>
          <w:rFonts w:hint="eastAsia" w:ascii="仿宋" w:hAnsi="仿宋" w:eastAsia="仿宋" w:cs="仿宋"/>
          <w:sz w:val="32"/>
          <w:szCs w:val="32"/>
        </w:rPr>
      </w:pPr>
      <w:r>
        <w:rPr>
          <w:rFonts w:hint="eastAsia" w:ascii="仿宋" w:hAnsi="仿宋" w:eastAsia="仿宋" w:cs="仿宋"/>
          <w:b/>
          <w:sz w:val="32"/>
          <w:szCs w:val="32"/>
        </w:rPr>
        <w:t>2.绩效自评报告公开情况。</w:t>
      </w:r>
      <w:r>
        <w:rPr>
          <w:rFonts w:hint="eastAsia" w:ascii="仿宋" w:hAnsi="仿宋" w:eastAsia="仿宋" w:cs="仿宋"/>
          <w:sz w:val="32"/>
          <w:szCs w:val="32"/>
        </w:rPr>
        <w:t>我单位在财政部门2020年度决算批复后，按照相关文件对预算绩效目标进行自我评价，并于自评工作完成后20日内，按照财政部门要求及时将单位自我绩效评价表通过市北政务网站公开。</w:t>
      </w: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hint="eastAsia"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spacing w:line="580" w:lineRule="exact"/>
        <w:ind w:firstLine="600"/>
        <w:rPr>
          <w:rFonts w:ascii="仿宋_GB2312"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00"/>
        <w:rPr>
          <w:rFonts w:ascii="仿宋" w:hAnsi="仿宋" w:eastAsia="仿宋"/>
          <w:sz w:val="32"/>
          <w:szCs w:val="32"/>
        </w:rPr>
      </w:pPr>
      <w:r>
        <w:rPr>
          <w:rFonts w:hint="eastAsia" w:ascii="黑体" w:hAnsi="黑体" w:eastAsia="黑体"/>
          <w:sz w:val="32"/>
          <w:szCs w:val="32"/>
        </w:rPr>
        <w:t>十六、公共安全支出（类）法院（款）行政运行（项）：</w:t>
      </w:r>
      <w:r>
        <w:rPr>
          <w:rFonts w:hint="eastAsia" w:ascii="仿宋" w:hAnsi="仿宋" w:eastAsia="仿宋"/>
          <w:sz w:val="32"/>
          <w:szCs w:val="32"/>
        </w:rPr>
        <w:t>指法院（包括各专门法院，包括实行公务员管理的事业单位）的基本支出。</w:t>
      </w:r>
    </w:p>
    <w:p>
      <w:pPr>
        <w:spacing w:line="580" w:lineRule="exact"/>
        <w:ind w:firstLine="600"/>
        <w:rPr>
          <w:rFonts w:ascii="仿宋" w:hAnsi="仿宋" w:eastAsia="仿宋"/>
          <w:sz w:val="32"/>
          <w:szCs w:val="32"/>
        </w:rPr>
      </w:pPr>
      <w:r>
        <w:rPr>
          <w:rFonts w:hint="eastAsia" w:ascii="黑体" w:hAnsi="黑体" w:eastAsia="黑体"/>
          <w:sz w:val="32"/>
          <w:szCs w:val="32"/>
        </w:rPr>
        <w:t>十七、公共安全支出（类）法院（款）机关服务（项）：</w:t>
      </w:r>
      <w:r>
        <w:rPr>
          <w:rFonts w:hint="eastAsia" w:ascii="仿宋" w:hAnsi="仿宋" w:eastAsia="仿宋"/>
          <w:sz w:val="32"/>
          <w:szCs w:val="32"/>
        </w:rPr>
        <w:t>指法院（包括各专门法院，包括实行公务员管理的事业单位）提供后勤服务的各类后勤服务中心、医务室等附属事业单位的支出。</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十八、公共安全支出（类）法院（款）案件审判（项）：</w:t>
      </w:r>
      <w:r>
        <w:rPr>
          <w:rFonts w:hint="eastAsia" w:ascii="仿宋" w:hAnsi="仿宋" w:eastAsia="仿宋"/>
          <w:sz w:val="32"/>
          <w:szCs w:val="32"/>
        </w:rPr>
        <w:t>反映人民法院对刑事、民事、行政、涉外等案件审判、执行活动和对各种非诉执行活动的支出。</w:t>
      </w:r>
    </w:p>
    <w:p>
      <w:pPr>
        <w:spacing w:line="580" w:lineRule="exact"/>
        <w:ind w:firstLine="643" w:firstLineChars="200"/>
        <w:rPr>
          <w:rFonts w:ascii="仿宋_GB2312" w:eastAsia="仿宋_GB2312"/>
          <w:b/>
          <w:sz w:val="32"/>
          <w:szCs w:val="32"/>
        </w:rPr>
      </w:pPr>
      <w:r>
        <w:rPr>
          <w:rFonts w:hint="eastAsia" w:ascii="黑体" w:hAnsi="黑体" w:eastAsia="黑体"/>
          <w:b/>
          <w:sz w:val="32"/>
          <w:szCs w:val="32"/>
        </w:rPr>
        <w:t>十九、</w:t>
      </w:r>
      <w:r>
        <w:rPr>
          <w:rFonts w:hint="eastAsia" w:ascii="黑体" w:hAnsi="黑体" w:eastAsia="黑体"/>
          <w:sz w:val="32"/>
          <w:szCs w:val="32"/>
        </w:rPr>
        <w:t>公共安全支出（类）法院（款）其他法院支出（项）：</w:t>
      </w:r>
      <w:r>
        <w:rPr>
          <w:rFonts w:hint="eastAsia" w:ascii="仿宋" w:hAnsi="仿宋" w:eastAsia="仿宋"/>
          <w:sz w:val="32"/>
          <w:szCs w:val="32"/>
        </w:rPr>
        <w:t>反映除上述项目以外其他用于法院方面的支出。</w:t>
      </w:r>
    </w:p>
    <w:p>
      <w:pPr>
        <w:spacing w:line="580" w:lineRule="exact"/>
        <w:ind w:firstLine="640" w:firstLineChars="200"/>
        <w:rPr>
          <w:rFonts w:ascii="仿宋_GB2312" w:eastAsia="仿宋_GB2312"/>
          <w:sz w:val="32"/>
          <w:szCs w:val="32"/>
        </w:rPr>
      </w:pPr>
    </w:p>
    <w:p>
      <w:bookmarkStart w:id="0" w:name="_GoBack"/>
      <w:bookmarkEnd w:id="0"/>
    </w:p>
    <w:sectPr>
      <w:footerReference r:id="rId6" w:type="default"/>
      <w:footerReference r:id="rId7" w:type="even"/>
      <w:pgSz w:w="11906" w:h="16838"/>
      <w:pgMar w:top="1440" w:right="1416"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星简大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29</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- 41 -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283"/>
    <w:rsid w:val="000037A0"/>
    <w:rsid w:val="00007DC9"/>
    <w:rsid w:val="00010FE6"/>
    <w:rsid w:val="00013228"/>
    <w:rsid w:val="00015607"/>
    <w:rsid w:val="00016478"/>
    <w:rsid w:val="00017BE6"/>
    <w:rsid w:val="0002090E"/>
    <w:rsid w:val="00021595"/>
    <w:rsid w:val="000217B6"/>
    <w:rsid w:val="00023ACF"/>
    <w:rsid w:val="000256DB"/>
    <w:rsid w:val="000262D1"/>
    <w:rsid w:val="00031E72"/>
    <w:rsid w:val="00031FDC"/>
    <w:rsid w:val="000348C2"/>
    <w:rsid w:val="00036700"/>
    <w:rsid w:val="000368B1"/>
    <w:rsid w:val="00037B20"/>
    <w:rsid w:val="00040B20"/>
    <w:rsid w:val="00044DCC"/>
    <w:rsid w:val="0004502A"/>
    <w:rsid w:val="00045A58"/>
    <w:rsid w:val="00046A75"/>
    <w:rsid w:val="00047478"/>
    <w:rsid w:val="00047D02"/>
    <w:rsid w:val="00053C6A"/>
    <w:rsid w:val="00057D1D"/>
    <w:rsid w:val="000679A9"/>
    <w:rsid w:val="0007108E"/>
    <w:rsid w:val="00072AD9"/>
    <w:rsid w:val="0007466C"/>
    <w:rsid w:val="00074D65"/>
    <w:rsid w:val="00076E25"/>
    <w:rsid w:val="00077098"/>
    <w:rsid w:val="0008135F"/>
    <w:rsid w:val="00081BFC"/>
    <w:rsid w:val="00082097"/>
    <w:rsid w:val="00083460"/>
    <w:rsid w:val="000843D6"/>
    <w:rsid w:val="00087607"/>
    <w:rsid w:val="00090C14"/>
    <w:rsid w:val="000A0D90"/>
    <w:rsid w:val="000A2755"/>
    <w:rsid w:val="000A32E5"/>
    <w:rsid w:val="000A6868"/>
    <w:rsid w:val="000A7E71"/>
    <w:rsid w:val="000B0216"/>
    <w:rsid w:val="000B02E0"/>
    <w:rsid w:val="000B1330"/>
    <w:rsid w:val="000B7F17"/>
    <w:rsid w:val="000C74E1"/>
    <w:rsid w:val="000D0803"/>
    <w:rsid w:val="000D1878"/>
    <w:rsid w:val="000D31C7"/>
    <w:rsid w:val="000D5383"/>
    <w:rsid w:val="000D7B27"/>
    <w:rsid w:val="000E2130"/>
    <w:rsid w:val="000E37E6"/>
    <w:rsid w:val="000E41B0"/>
    <w:rsid w:val="000E4536"/>
    <w:rsid w:val="000E5E12"/>
    <w:rsid w:val="000E76A2"/>
    <w:rsid w:val="000F0E2C"/>
    <w:rsid w:val="000F2160"/>
    <w:rsid w:val="000F2903"/>
    <w:rsid w:val="000F406F"/>
    <w:rsid w:val="000F6B1F"/>
    <w:rsid w:val="000F75A5"/>
    <w:rsid w:val="00102DF0"/>
    <w:rsid w:val="00107237"/>
    <w:rsid w:val="00107432"/>
    <w:rsid w:val="00110214"/>
    <w:rsid w:val="00111472"/>
    <w:rsid w:val="00114352"/>
    <w:rsid w:val="001149AF"/>
    <w:rsid w:val="00114AFE"/>
    <w:rsid w:val="00115F31"/>
    <w:rsid w:val="00117FD5"/>
    <w:rsid w:val="001247D3"/>
    <w:rsid w:val="0012556E"/>
    <w:rsid w:val="00125BFB"/>
    <w:rsid w:val="00125E4C"/>
    <w:rsid w:val="0013247D"/>
    <w:rsid w:val="00133784"/>
    <w:rsid w:val="0013508F"/>
    <w:rsid w:val="00142984"/>
    <w:rsid w:val="0014481D"/>
    <w:rsid w:val="00150FDD"/>
    <w:rsid w:val="00151B4A"/>
    <w:rsid w:val="0015319D"/>
    <w:rsid w:val="00155BA2"/>
    <w:rsid w:val="0015766C"/>
    <w:rsid w:val="0016083B"/>
    <w:rsid w:val="0016381D"/>
    <w:rsid w:val="00167985"/>
    <w:rsid w:val="00167F6E"/>
    <w:rsid w:val="00170067"/>
    <w:rsid w:val="00170426"/>
    <w:rsid w:val="0017132B"/>
    <w:rsid w:val="00172A27"/>
    <w:rsid w:val="001776CE"/>
    <w:rsid w:val="001823F0"/>
    <w:rsid w:val="00184019"/>
    <w:rsid w:val="00186D80"/>
    <w:rsid w:val="0019244E"/>
    <w:rsid w:val="00195E4A"/>
    <w:rsid w:val="001961AE"/>
    <w:rsid w:val="00197DF0"/>
    <w:rsid w:val="001A0EBF"/>
    <w:rsid w:val="001A1028"/>
    <w:rsid w:val="001B062F"/>
    <w:rsid w:val="001B1F37"/>
    <w:rsid w:val="001B293E"/>
    <w:rsid w:val="001B2B4D"/>
    <w:rsid w:val="001B60EA"/>
    <w:rsid w:val="001B65A9"/>
    <w:rsid w:val="001C37EC"/>
    <w:rsid w:val="001C444B"/>
    <w:rsid w:val="001C5454"/>
    <w:rsid w:val="001C5FD0"/>
    <w:rsid w:val="001C6FF9"/>
    <w:rsid w:val="001C7171"/>
    <w:rsid w:val="001D09B8"/>
    <w:rsid w:val="001D1089"/>
    <w:rsid w:val="001D197E"/>
    <w:rsid w:val="001D5334"/>
    <w:rsid w:val="001D637E"/>
    <w:rsid w:val="001E1750"/>
    <w:rsid w:val="001E24D4"/>
    <w:rsid w:val="001E24EC"/>
    <w:rsid w:val="001E4025"/>
    <w:rsid w:val="001E457C"/>
    <w:rsid w:val="001F0816"/>
    <w:rsid w:val="001F65C5"/>
    <w:rsid w:val="001F789E"/>
    <w:rsid w:val="0020078E"/>
    <w:rsid w:val="002022B9"/>
    <w:rsid w:val="0020598C"/>
    <w:rsid w:val="00207BDB"/>
    <w:rsid w:val="00210B2C"/>
    <w:rsid w:val="00210B61"/>
    <w:rsid w:val="002111EE"/>
    <w:rsid w:val="0021146E"/>
    <w:rsid w:val="00211F82"/>
    <w:rsid w:val="002122D4"/>
    <w:rsid w:val="002139C7"/>
    <w:rsid w:val="00213DC0"/>
    <w:rsid w:val="00221DFE"/>
    <w:rsid w:val="002233D4"/>
    <w:rsid w:val="00224A07"/>
    <w:rsid w:val="00226C5A"/>
    <w:rsid w:val="002270C1"/>
    <w:rsid w:val="00231B86"/>
    <w:rsid w:val="00231EBE"/>
    <w:rsid w:val="00232600"/>
    <w:rsid w:val="00232FE3"/>
    <w:rsid w:val="00232FE4"/>
    <w:rsid w:val="002332B6"/>
    <w:rsid w:val="0024268A"/>
    <w:rsid w:val="002460BA"/>
    <w:rsid w:val="00253115"/>
    <w:rsid w:val="0026303E"/>
    <w:rsid w:val="00263EE2"/>
    <w:rsid w:val="00265A3A"/>
    <w:rsid w:val="002661EC"/>
    <w:rsid w:val="002669B6"/>
    <w:rsid w:val="0027011F"/>
    <w:rsid w:val="0027025F"/>
    <w:rsid w:val="00270E32"/>
    <w:rsid w:val="002710B8"/>
    <w:rsid w:val="002713E0"/>
    <w:rsid w:val="00272A85"/>
    <w:rsid w:val="00274233"/>
    <w:rsid w:val="00282C2B"/>
    <w:rsid w:val="0029068E"/>
    <w:rsid w:val="00290D6B"/>
    <w:rsid w:val="00294BC6"/>
    <w:rsid w:val="00294D2F"/>
    <w:rsid w:val="00296D34"/>
    <w:rsid w:val="002A412F"/>
    <w:rsid w:val="002B09AE"/>
    <w:rsid w:val="002B7143"/>
    <w:rsid w:val="002B7DA7"/>
    <w:rsid w:val="002C47BC"/>
    <w:rsid w:val="002D0011"/>
    <w:rsid w:val="002D1809"/>
    <w:rsid w:val="002D35C0"/>
    <w:rsid w:val="002D38E5"/>
    <w:rsid w:val="002D486B"/>
    <w:rsid w:val="002D489D"/>
    <w:rsid w:val="002D748B"/>
    <w:rsid w:val="002E5BA7"/>
    <w:rsid w:val="002F0219"/>
    <w:rsid w:val="002F6E69"/>
    <w:rsid w:val="00301BBA"/>
    <w:rsid w:val="0030390E"/>
    <w:rsid w:val="00304325"/>
    <w:rsid w:val="00311702"/>
    <w:rsid w:val="0031481E"/>
    <w:rsid w:val="0031518E"/>
    <w:rsid w:val="00316B3F"/>
    <w:rsid w:val="003171C0"/>
    <w:rsid w:val="003207A7"/>
    <w:rsid w:val="00322604"/>
    <w:rsid w:val="00323FD0"/>
    <w:rsid w:val="00324F4C"/>
    <w:rsid w:val="00326A28"/>
    <w:rsid w:val="00331F0D"/>
    <w:rsid w:val="0033493C"/>
    <w:rsid w:val="00335733"/>
    <w:rsid w:val="003367CC"/>
    <w:rsid w:val="003369FE"/>
    <w:rsid w:val="00341E6C"/>
    <w:rsid w:val="003425AA"/>
    <w:rsid w:val="003439FD"/>
    <w:rsid w:val="0034463D"/>
    <w:rsid w:val="00344C60"/>
    <w:rsid w:val="00345092"/>
    <w:rsid w:val="00345DCF"/>
    <w:rsid w:val="003466B0"/>
    <w:rsid w:val="00346C30"/>
    <w:rsid w:val="0034701E"/>
    <w:rsid w:val="003473D6"/>
    <w:rsid w:val="00350E02"/>
    <w:rsid w:val="00354A29"/>
    <w:rsid w:val="0036187C"/>
    <w:rsid w:val="00362A69"/>
    <w:rsid w:val="00363B33"/>
    <w:rsid w:val="00364D86"/>
    <w:rsid w:val="00366644"/>
    <w:rsid w:val="00366A03"/>
    <w:rsid w:val="00367C74"/>
    <w:rsid w:val="003733C9"/>
    <w:rsid w:val="00374547"/>
    <w:rsid w:val="00376739"/>
    <w:rsid w:val="003772AC"/>
    <w:rsid w:val="0038681E"/>
    <w:rsid w:val="00386AB9"/>
    <w:rsid w:val="00387C92"/>
    <w:rsid w:val="00390ABE"/>
    <w:rsid w:val="00392032"/>
    <w:rsid w:val="00397497"/>
    <w:rsid w:val="003A0A2C"/>
    <w:rsid w:val="003A1C69"/>
    <w:rsid w:val="003A3B08"/>
    <w:rsid w:val="003A4E6D"/>
    <w:rsid w:val="003A6DF2"/>
    <w:rsid w:val="003B32A7"/>
    <w:rsid w:val="003B3F67"/>
    <w:rsid w:val="003B4301"/>
    <w:rsid w:val="003B71FC"/>
    <w:rsid w:val="003C0B34"/>
    <w:rsid w:val="003C35F1"/>
    <w:rsid w:val="003C6496"/>
    <w:rsid w:val="003D1BDA"/>
    <w:rsid w:val="003D61D5"/>
    <w:rsid w:val="003D7461"/>
    <w:rsid w:val="003E4711"/>
    <w:rsid w:val="003E5556"/>
    <w:rsid w:val="003E5D24"/>
    <w:rsid w:val="003E7375"/>
    <w:rsid w:val="003F5D32"/>
    <w:rsid w:val="00400E2C"/>
    <w:rsid w:val="004031BC"/>
    <w:rsid w:val="00405D47"/>
    <w:rsid w:val="00406B46"/>
    <w:rsid w:val="00410411"/>
    <w:rsid w:val="00412B6A"/>
    <w:rsid w:val="00413BC6"/>
    <w:rsid w:val="00416379"/>
    <w:rsid w:val="00420B01"/>
    <w:rsid w:val="00435AF6"/>
    <w:rsid w:val="00435C0A"/>
    <w:rsid w:val="00440A47"/>
    <w:rsid w:val="00443328"/>
    <w:rsid w:val="0044488D"/>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13"/>
    <w:rsid w:val="00484CC0"/>
    <w:rsid w:val="00484D66"/>
    <w:rsid w:val="00485FDE"/>
    <w:rsid w:val="00490C6B"/>
    <w:rsid w:val="00492973"/>
    <w:rsid w:val="004A0F9B"/>
    <w:rsid w:val="004A6E98"/>
    <w:rsid w:val="004B0533"/>
    <w:rsid w:val="004B7583"/>
    <w:rsid w:val="004C1C7B"/>
    <w:rsid w:val="004C399B"/>
    <w:rsid w:val="004C43C7"/>
    <w:rsid w:val="004C6442"/>
    <w:rsid w:val="004C6B98"/>
    <w:rsid w:val="004C7193"/>
    <w:rsid w:val="004D043F"/>
    <w:rsid w:val="004D225B"/>
    <w:rsid w:val="004D56E2"/>
    <w:rsid w:val="004E2640"/>
    <w:rsid w:val="004F01C6"/>
    <w:rsid w:val="004F2701"/>
    <w:rsid w:val="004F2B79"/>
    <w:rsid w:val="004F6772"/>
    <w:rsid w:val="0050040E"/>
    <w:rsid w:val="00500863"/>
    <w:rsid w:val="005011D4"/>
    <w:rsid w:val="005039A7"/>
    <w:rsid w:val="00505B64"/>
    <w:rsid w:val="00506738"/>
    <w:rsid w:val="00506D3C"/>
    <w:rsid w:val="005109A3"/>
    <w:rsid w:val="00512FF3"/>
    <w:rsid w:val="0051675E"/>
    <w:rsid w:val="0052155E"/>
    <w:rsid w:val="00522F0F"/>
    <w:rsid w:val="005233EC"/>
    <w:rsid w:val="0053096A"/>
    <w:rsid w:val="0053153E"/>
    <w:rsid w:val="00531E3D"/>
    <w:rsid w:val="005344D3"/>
    <w:rsid w:val="00536282"/>
    <w:rsid w:val="005373CB"/>
    <w:rsid w:val="0053776B"/>
    <w:rsid w:val="00540F27"/>
    <w:rsid w:val="00543249"/>
    <w:rsid w:val="0054412E"/>
    <w:rsid w:val="0054677A"/>
    <w:rsid w:val="00546D16"/>
    <w:rsid w:val="00547154"/>
    <w:rsid w:val="00551ED0"/>
    <w:rsid w:val="00555B87"/>
    <w:rsid w:val="00561B5E"/>
    <w:rsid w:val="005646A8"/>
    <w:rsid w:val="00565412"/>
    <w:rsid w:val="00567075"/>
    <w:rsid w:val="00574539"/>
    <w:rsid w:val="005755A8"/>
    <w:rsid w:val="00577962"/>
    <w:rsid w:val="005831C6"/>
    <w:rsid w:val="00585BC9"/>
    <w:rsid w:val="0059306C"/>
    <w:rsid w:val="00594782"/>
    <w:rsid w:val="00594ACF"/>
    <w:rsid w:val="005967A0"/>
    <w:rsid w:val="005A1892"/>
    <w:rsid w:val="005A21B3"/>
    <w:rsid w:val="005A40D3"/>
    <w:rsid w:val="005A519A"/>
    <w:rsid w:val="005A610B"/>
    <w:rsid w:val="005B024D"/>
    <w:rsid w:val="005B2496"/>
    <w:rsid w:val="005B297E"/>
    <w:rsid w:val="005B2B10"/>
    <w:rsid w:val="005C18B7"/>
    <w:rsid w:val="005C1C2D"/>
    <w:rsid w:val="005C1FA3"/>
    <w:rsid w:val="005C3252"/>
    <w:rsid w:val="005D4E72"/>
    <w:rsid w:val="005D599A"/>
    <w:rsid w:val="005D6B39"/>
    <w:rsid w:val="005D7FCC"/>
    <w:rsid w:val="005E134E"/>
    <w:rsid w:val="005E16E7"/>
    <w:rsid w:val="005E36BC"/>
    <w:rsid w:val="005E471A"/>
    <w:rsid w:val="005E6413"/>
    <w:rsid w:val="005F0341"/>
    <w:rsid w:val="005F0804"/>
    <w:rsid w:val="005F1C91"/>
    <w:rsid w:val="005F2D23"/>
    <w:rsid w:val="005F3F69"/>
    <w:rsid w:val="005F3F70"/>
    <w:rsid w:val="005F430E"/>
    <w:rsid w:val="005F4BA3"/>
    <w:rsid w:val="005F7113"/>
    <w:rsid w:val="006007ED"/>
    <w:rsid w:val="00602C9D"/>
    <w:rsid w:val="00610437"/>
    <w:rsid w:val="00613A94"/>
    <w:rsid w:val="00616162"/>
    <w:rsid w:val="00616C4D"/>
    <w:rsid w:val="00617765"/>
    <w:rsid w:val="00620166"/>
    <w:rsid w:val="006204B9"/>
    <w:rsid w:val="00621EFC"/>
    <w:rsid w:val="006221DE"/>
    <w:rsid w:val="006238B2"/>
    <w:rsid w:val="006247E4"/>
    <w:rsid w:val="00630A0B"/>
    <w:rsid w:val="006330B8"/>
    <w:rsid w:val="00636296"/>
    <w:rsid w:val="00640B31"/>
    <w:rsid w:val="006431B4"/>
    <w:rsid w:val="0064531C"/>
    <w:rsid w:val="00645818"/>
    <w:rsid w:val="00652976"/>
    <w:rsid w:val="0065371E"/>
    <w:rsid w:val="00653A44"/>
    <w:rsid w:val="00661964"/>
    <w:rsid w:val="00665DCB"/>
    <w:rsid w:val="00667CBE"/>
    <w:rsid w:val="00671D18"/>
    <w:rsid w:val="00675CA1"/>
    <w:rsid w:val="00676472"/>
    <w:rsid w:val="006846DB"/>
    <w:rsid w:val="00691463"/>
    <w:rsid w:val="00694C54"/>
    <w:rsid w:val="0069671E"/>
    <w:rsid w:val="00697B94"/>
    <w:rsid w:val="006A0235"/>
    <w:rsid w:val="006A50AB"/>
    <w:rsid w:val="006A54D4"/>
    <w:rsid w:val="006A5E5E"/>
    <w:rsid w:val="006A62AF"/>
    <w:rsid w:val="006A6721"/>
    <w:rsid w:val="006A728B"/>
    <w:rsid w:val="006A7B01"/>
    <w:rsid w:val="006B0730"/>
    <w:rsid w:val="006B2173"/>
    <w:rsid w:val="006B5892"/>
    <w:rsid w:val="006C2EC5"/>
    <w:rsid w:val="006C3613"/>
    <w:rsid w:val="006C48DF"/>
    <w:rsid w:val="006D2734"/>
    <w:rsid w:val="006D6890"/>
    <w:rsid w:val="006E0A8D"/>
    <w:rsid w:val="006E3ADD"/>
    <w:rsid w:val="006E4181"/>
    <w:rsid w:val="006E5339"/>
    <w:rsid w:val="006F28B3"/>
    <w:rsid w:val="006F3570"/>
    <w:rsid w:val="006F4106"/>
    <w:rsid w:val="006F7571"/>
    <w:rsid w:val="007023BD"/>
    <w:rsid w:val="00703E1B"/>
    <w:rsid w:val="00705024"/>
    <w:rsid w:val="00706CC7"/>
    <w:rsid w:val="00713691"/>
    <w:rsid w:val="007155F8"/>
    <w:rsid w:val="00715A52"/>
    <w:rsid w:val="00720089"/>
    <w:rsid w:val="00731F18"/>
    <w:rsid w:val="00732D97"/>
    <w:rsid w:val="007348EB"/>
    <w:rsid w:val="00734B6D"/>
    <w:rsid w:val="00735892"/>
    <w:rsid w:val="007363D5"/>
    <w:rsid w:val="00740894"/>
    <w:rsid w:val="00740FE1"/>
    <w:rsid w:val="0074314A"/>
    <w:rsid w:val="00746456"/>
    <w:rsid w:val="00747FD9"/>
    <w:rsid w:val="007511D0"/>
    <w:rsid w:val="007532AF"/>
    <w:rsid w:val="007538FE"/>
    <w:rsid w:val="00755A8E"/>
    <w:rsid w:val="00756EBC"/>
    <w:rsid w:val="00760C8A"/>
    <w:rsid w:val="0077070A"/>
    <w:rsid w:val="00773FDC"/>
    <w:rsid w:val="00774489"/>
    <w:rsid w:val="0077775C"/>
    <w:rsid w:val="00780D11"/>
    <w:rsid w:val="00780FDF"/>
    <w:rsid w:val="00782411"/>
    <w:rsid w:val="00784D97"/>
    <w:rsid w:val="00785682"/>
    <w:rsid w:val="00785894"/>
    <w:rsid w:val="00785954"/>
    <w:rsid w:val="00786A22"/>
    <w:rsid w:val="0078718E"/>
    <w:rsid w:val="00791675"/>
    <w:rsid w:val="00792E30"/>
    <w:rsid w:val="00793441"/>
    <w:rsid w:val="0079788A"/>
    <w:rsid w:val="007A0649"/>
    <w:rsid w:val="007A48A4"/>
    <w:rsid w:val="007B2ABD"/>
    <w:rsid w:val="007B2AFC"/>
    <w:rsid w:val="007B5587"/>
    <w:rsid w:val="007B5B83"/>
    <w:rsid w:val="007C02D1"/>
    <w:rsid w:val="007C2DA9"/>
    <w:rsid w:val="007C3D7C"/>
    <w:rsid w:val="007D0905"/>
    <w:rsid w:val="007D15D6"/>
    <w:rsid w:val="007D15F6"/>
    <w:rsid w:val="007D2D78"/>
    <w:rsid w:val="007D2EFF"/>
    <w:rsid w:val="007E068D"/>
    <w:rsid w:val="007E250F"/>
    <w:rsid w:val="007E283C"/>
    <w:rsid w:val="007E6F64"/>
    <w:rsid w:val="007E76E9"/>
    <w:rsid w:val="007F197F"/>
    <w:rsid w:val="007F4E22"/>
    <w:rsid w:val="00800694"/>
    <w:rsid w:val="00810EA6"/>
    <w:rsid w:val="00812054"/>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53EFF"/>
    <w:rsid w:val="00861BC7"/>
    <w:rsid w:val="00862A2F"/>
    <w:rsid w:val="0086412E"/>
    <w:rsid w:val="00865B91"/>
    <w:rsid w:val="00867982"/>
    <w:rsid w:val="00871078"/>
    <w:rsid w:val="00874270"/>
    <w:rsid w:val="00875837"/>
    <w:rsid w:val="00876ED2"/>
    <w:rsid w:val="00877705"/>
    <w:rsid w:val="00881A1C"/>
    <w:rsid w:val="00887029"/>
    <w:rsid w:val="0088746A"/>
    <w:rsid w:val="0089022B"/>
    <w:rsid w:val="00891E1A"/>
    <w:rsid w:val="00893086"/>
    <w:rsid w:val="008A3A8A"/>
    <w:rsid w:val="008A5379"/>
    <w:rsid w:val="008A621E"/>
    <w:rsid w:val="008A6293"/>
    <w:rsid w:val="008B2D73"/>
    <w:rsid w:val="008B4D3E"/>
    <w:rsid w:val="008B7919"/>
    <w:rsid w:val="008C04AD"/>
    <w:rsid w:val="008C36CB"/>
    <w:rsid w:val="008C697A"/>
    <w:rsid w:val="008D1A06"/>
    <w:rsid w:val="008D1BEE"/>
    <w:rsid w:val="008D7064"/>
    <w:rsid w:val="008D7A9D"/>
    <w:rsid w:val="008E2141"/>
    <w:rsid w:val="008E3D87"/>
    <w:rsid w:val="008E5BA4"/>
    <w:rsid w:val="008F5E4F"/>
    <w:rsid w:val="009104D6"/>
    <w:rsid w:val="00911268"/>
    <w:rsid w:val="009205D2"/>
    <w:rsid w:val="009205EB"/>
    <w:rsid w:val="00921B10"/>
    <w:rsid w:val="009220D0"/>
    <w:rsid w:val="00922BB5"/>
    <w:rsid w:val="0092312F"/>
    <w:rsid w:val="00934D21"/>
    <w:rsid w:val="00935267"/>
    <w:rsid w:val="009353FA"/>
    <w:rsid w:val="0093745D"/>
    <w:rsid w:val="0094683D"/>
    <w:rsid w:val="00951B15"/>
    <w:rsid w:val="00954755"/>
    <w:rsid w:val="009560E0"/>
    <w:rsid w:val="00963ED2"/>
    <w:rsid w:val="00965BEF"/>
    <w:rsid w:val="00965E5C"/>
    <w:rsid w:val="009667E6"/>
    <w:rsid w:val="00972343"/>
    <w:rsid w:val="009741DF"/>
    <w:rsid w:val="0097607F"/>
    <w:rsid w:val="00976538"/>
    <w:rsid w:val="009774BB"/>
    <w:rsid w:val="00980122"/>
    <w:rsid w:val="00983A42"/>
    <w:rsid w:val="009852EE"/>
    <w:rsid w:val="0098554D"/>
    <w:rsid w:val="00987810"/>
    <w:rsid w:val="0099140F"/>
    <w:rsid w:val="009915DE"/>
    <w:rsid w:val="00995720"/>
    <w:rsid w:val="0099689B"/>
    <w:rsid w:val="009971C2"/>
    <w:rsid w:val="009A39FE"/>
    <w:rsid w:val="009A3A32"/>
    <w:rsid w:val="009A3A68"/>
    <w:rsid w:val="009A4C19"/>
    <w:rsid w:val="009B0E03"/>
    <w:rsid w:val="009B6761"/>
    <w:rsid w:val="009B7616"/>
    <w:rsid w:val="009C2E7D"/>
    <w:rsid w:val="009C4325"/>
    <w:rsid w:val="009D19A6"/>
    <w:rsid w:val="009D3668"/>
    <w:rsid w:val="009D7733"/>
    <w:rsid w:val="009E0A44"/>
    <w:rsid w:val="009E1EC7"/>
    <w:rsid w:val="009E2932"/>
    <w:rsid w:val="009E60A7"/>
    <w:rsid w:val="009F0B1D"/>
    <w:rsid w:val="009F1395"/>
    <w:rsid w:val="009F303B"/>
    <w:rsid w:val="009F5CC6"/>
    <w:rsid w:val="00A0055B"/>
    <w:rsid w:val="00A02392"/>
    <w:rsid w:val="00A121E0"/>
    <w:rsid w:val="00A23431"/>
    <w:rsid w:val="00A30456"/>
    <w:rsid w:val="00A33173"/>
    <w:rsid w:val="00A35A34"/>
    <w:rsid w:val="00A37D41"/>
    <w:rsid w:val="00A4118E"/>
    <w:rsid w:val="00A44FD1"/>
    <w:rsid w:val="00A63459"/>
    <w:rsid w:val="00A63BB9"/>
    <w:rsid w:val="00A65852"/>
    <w:rsid w:val="00A66FB6"/>
    <w:rsid w:val="00A674AA"/>
    <w:rsid w:val="00A71E40"/>
    <w:rsid w:val="00A72282"/>
    <w:rsid w:val="00A72892"/>
    <w:rsid w:val="00A72C5C"/>
    <w:rsid w:val="00A7352E"/>
    <w:rsid w:val="00A75E8E"/>
    <w:rsid w:val="00A8145E"/>
    <w:rsid w:val="00A82F10"/>
    <w:rsid w:val="00A839C1"/>
    <w:rsid w:val="00A843B6"/>
    <w:rsid w:val="00A86088"/>
    <w:rsid w:val="00A903A0"/>
    <w:rsid w:val="00A91F76"/>
    <w:rsid w:val="00A92890"/>
    <w:rsid w:val="00A92D71"/>
    <w:rsid w:val="00A963B3"/>
    <w:rsid w:val="00A970C8"/>
    <w:rsid w:val="00AA271B"/>
    <w:rsid w:val="00AA3273"/>
    <w:rsid w:val="00AA7CCE"/>
    <w:rsid w:val="00AA7D3E"/>
    <w:rsid w:val="00AB28FC"/>
    <w:rsid w:val="00AB2B45"/>
    <w:rsid w:val="00AB2E00"/>
    <w:rsid w:val="00AC24E3"/>
    <w:rsid w:val="00AC5C42"/>
    <w:rsid w:val="00AD2AC8"/>
    <w:rsid w:val="00AD61F7"/>
    <w:rsid w:val="00AE086D"/>
    <w:rsid w:val="00AE283B"/>
    <w:rsid w:val="00AE2F92"/>
    <w:rsid w:val="00AE43F4"/>
    <w:rsid w:val="00AE4CEC"/>
    <w:rsid w:val="00AF55FE"/>
    <w:rsid w:val="00B0120F"/>
    <w:rsid w:val="00B062C2"/>
    <w:rsid w:val="00B06810"/>
    <w:rsid w:val="00B06A8C"/>
    <w:rsid w:val="00B14645"/>
    <w:rsid w:val="00B15167"/>
    <w:rsid w:val="00B15463"/>
    <w:rsid w:val="00B165E0"/>
    <w:rsid w:val="00B17819"/>
    <w:rsid w:val="00B17A76"/>
    <w:rsid w:val="00B25757"/>
    <w:rsid w:val="00B271A4"/>
    <w:rsid w:val="00B3021D"/>
    <w:rsid w:val="00B36774"/>
    <w:rsid w:val="00B414AC"/>
    <w:rsid w:val="00B41D30"/>
    <w:rsid w:val="00B42634"/>
    <w:rsid w:val="00B44470"/>
    <w:rsid w:val="00B46081"/>
    <w:rsid w:val="00B51DA0"/>
    <w:rsid w:val="00B51E38"/>
    <w:rsid w:val="00B52084"/>
    <w:rsid w:val="00B52E49"/>
    <w:rsid w:val="00B53C30"/>
    <w:rsid w:val="00B56144"/>
    <w:rsid w:val="00B61CF6"/>
    <w:rsid w:val="00B624D7"/>
    <w:rsid w:val="00B62BA6"/>
    <w:rsid w:val="00B6782E"/>
    <w:rsid w:val="00B709E2"/>
    <w:rsid w:val="00B709FC"/>
    <w:rsid w:val="00B70F34"/>
    <w:rsid w:val="00B8067A"/>
    <w:rsid w:val="00B81B7C"/>
    <w:rsid w:val="00B82BE7"/>
    <w:rsid w:val="00B85F99"/>
    <w:rsid w:val="00B867BA"/>
    <w:rsid w:val="00B9092C"/>
    <w:rsid w:val="00B92962"/>
    <w:rsid w:val="00B94728"/>
    <w:rsid w:val="00B96A90"/>
    <w:rsid w:val="00B96BDA"/>
    <w:rsid w:val="00BA49FB"/>
    <w:rsid w:val="00BA58B1"/>
    <w:rsid w:val="00BA7713"/>
    <w:rsid w:val="00BB257A"/>
    <w:rsid w:val="00BB44A5"/>
    <w:rsid w:val="00BB62C8"/>
    <w:rsid w:val="00BC1F92"/>
    <w:rsid w:val="00BC40F0"/>
    <w:rsid w:val="00BD111A"/>
    <w:rsid w:val="00BD719C"/>
    <w:rsid w:val="00BE1BE1"/>
    <w:rsid w:val="00BE3135"/>
    <w:rsid w:val="00BE40CF"/>
    <w:rsid w:val="00BE4A0B"/>
    <w:rsid w:val="00BE68D9"/>
    <w:rsid w:val="00BF0368"/>
    <w:rsid w:val="00BF1E29"/>
    <w:rsid w:val="00BF45C7"/>
    <w:rsid w:val="00C05A9B"/>
    <w:rsid w:val="00C06766"/>
    <w:rsid w:val="00C06E6D"/>
    <w:rsid w:val="00C07468"/>
    <w:rsid w:val="00C07719"/>
    <w:rsid w:val="00C13873"/>
    <w:rsid w:val="00C2153C"/>
    <w:rsid w:val="00C22A00"/>
    <w:rsid w:val="00C306DB"/>
    <w:rsid w:val="00C3076E"/>
    <w:rsid w:val="00C35C96"/>
    <w:rsid w:val="00C35D5D"/>
    <w:rsid w:val="00C364D6"/>
    <w:rsid w:val="00C40B65"/>
    <w:rsid w:val="00C41AF1"/>
    <w:rsid w:val="00C4202D"/>
    <w:rsid w:val="00C42808"/>
    <w:rsid w:val="00C434B0"/>
    <w:rsid w:val="00C515BF"/>
    <w:rsid w:val="00C52A1F"/>
    <w:rsid w:val="00C567A3"/>
    <w:rsid w:val="00C57211"/>
    <w:rsid w:val="00C61290"/>
    <w:rsid w:val="00C62ED8"/>
    <w:rsid w:val="00C63755"/>
    <w:rsid w:val="00C703EA"/>
    <w:rsid w:val="00C74384"/>
    <w:rsid w:val="00C7560F"/>
    <w:rsid w:val="00C76465"/>
    <w:rsid w:val="00C76DDD"/>
    <w:rsid w:val="00C81BF7"/>
    <w:rsid w:val="00C82757"/>
    <w:rsid w:val="00C83936"/>
    <w:rsid w:val="00C83FDD"/>
    <w:rsid w:val="00C85D8A"/>
    <w:rsid w:val="00C863D4"/>
    <w:rsid w:val="00C869AC"/>
    <w:rsid w:val="00C97409"/>
    <w:rsid w:val="00CA0608"/>
    <w:rsid w:val="00CA0A54"/>
    <w:rsid w:val="00CB09CA"/>
    <w:rsid w:val="00CB0C69"/>
    <w:rsid w:val="00CB1D6E"/>
    <w:rsid w:val="00CB3256"/>
    <w:rsid w:val="00CC2894"/>
    <w:rsid w:val="00CC4038"/>
    <w:rsid w:val="00CC5805"/>
    <w:rsid w:val="00CD0F4A"/>
    <w:rsid w:val="00CE0139"/>
    <w:rsid w:val="00CE01D8"/>
    <w:rsid w:val="00CF076F"/>
    <w:rsid w:val="00CF15F8"/>
    <w:rsid w:val="00CF181B"/>
    <w:rsid w:val="00CF564F"/>
    <w:rsid w:val="00D019B6"/>
    <w:rsid w:val="00D06B98"/>
    <w:rsid w:val="00D1793C"/>
    <w:rsid w:val="00D2442B"/>
    <w:rsid w:val="00D27621"/>
    <w:rsid w:val="00D30E34"/>
    <w:rsid w:val="00D318F4"/>
    <w:rsid w:val="00D31DBB"/>
    <w:rsid w:val="00D36154"/>
    <w:rsid w:val="00D366B3"/>
    <w:rsid w:val="00D40ECB"/>
    <w:rsid w:val="00D4439A"/>
    <w:rsid w:val="00D46B4C"/>
    <w:rsid w:val="00D46B74"/>
    <w:rsid w:val="00D52159"/>
    <w:rsid w:val="00D548A9"/>
    <w:rsid w:val="00D55F96"/>
    <w:rsid w:val="00D63781"/>
    <w:rsid w:val="00D63970"/>
    <w:rsid w:val="00D672A9"/>
    <w:rsid w:val="00D67539"/>
    <w:rsid w:val="00D746B3"/>
    <w:rsid w:val="00D746FC"/>
    <w:rsid w:val="00D76590"/>
    <w:rsid w:val="00D76F40"/>
    <w:rsid w:val="00D77EF0"/>
    <w:rsid w:val="00D80C7C"/>
    <w:rsid w:val="00D81063"/>
    <w:rsid w:val="00D86429"/>
    <w:rsid w:val="00D8759A"/>
    <w:rsid w:val="00D87648"/>
    <w:rsid w:val="00D9080F"/>
    <w:rsid w:val="00D908C3"/>
    <w:rsid w:val="00D9327A"/>
    <w:rsid w:val="00D93A23"/>
    <w:rsid w:val="00D95962"/>
    <w:rsid w:val="00D97195"/>
    <w:rsid w:val="00D971B4"/>
    <w:rsid w:val="00DA0B8E"/>
    <w:rsid w:val="00DA4FA5"/>
    <w:rsid w:val="00DB337C"/>
    <w:rsid w:val="00DB6188"/>
    <w:rsid w:val="00DB6874"/>
    <w:rsid w:val="00DB72F2"/>
    <w:rsid w:val="00DC2CC1"/>
    <w:rsid w:val="00DC7D38"/>
    <w:rsid w:val="00DD075B"/>
    <w:rsid w:val="00DD2032"/>
    <w:rsid w:val="00DD56FE"/>
    <w:rsid w:val="00DD667B"/>
    <w:rsid w:val="00DD6CC2"/>
    <w:rsid w:val="00DE332A"/>
    <w:rsid w:val="00DE3C7F"/>
    <w:rsid w:val="00DF3395"/>
    <w:rsid w:val="00DF5F65"/>
    <w:rsid w:val="00DF74F0"/>
    <w:rsid w:val="00E00E61"/>
    <w:rsid w:val="00E0315F"/>
    <w:rsid w:val="00E03A96"/>
    <w:rsid w:val="00E13F48"/>
    <w:rsid w:val="00E1422B"/>
    <w:rsid w:val="00E21751"/>
    <w:rsid w:val="00E22462"/>
    <w:rsid w:val="00E23138"/>
    <w:rsid w:val="00E25D51"/>
    <w:rsid w:val="00E26850"/>
    <w:rsid w:val="00E27409"/>
    <w:rsid w:val="00E2757E"/>
    <w:rsid w:val="00E31164"/>
    <w:rsid w:val="00E32F8F"/>
    <w:rsid w:val="00E37026"/>
    <w:rsid w:val="00E41CA1"/>
    <w:rsid w:val="00E41E4F"/>
    <w:rsid w:val="00E41EB6"/>
    <w:rsid w:val="00E42853"/>
    <w:rsid w:val="00E43BF9"/>
    <w:rsid w:val="00E46181"/>
    <w:rsid w:val="00E50120"/>
    <w:rsid w:val="00E551AE"/>
    <w:rsid w:val="00E558F4"/>
    <w:rsid w:val="00E63270"/>
    <w:rsid w:val="00E634E2"/>
    <w:rsid w:val="00E65E82"/>
    <w:rsid w:val="00E661C3"/>
    <w:rsid w:val="00E708A1"/>
    <w:rsid w:val="00E71BA9"/>
    <w:rsid w:val="00E71CE8"/>
    <w:rsid w:val="00E771A2"/>
    <w:rsid w:val="00E80BAB"/>
    <w:rsid w:val="00E80D85"/>
    <w:rsid w:val="00E86A5F"/>
    <w:rsid w:val="00E873C2"/>
    <w:rsid w:val="00E91B7F"/>
    <w:rsid w:val="00EA03C9"/>
    <w:rsid w:val="00EA1878"/>
    <w:rsid w:val="00EA1A64"/>
    <w:rsid w:val="00EA1E74"/>
    <w:rsid w:val="00EA3766"/>
    <w:rsid w:val="00EA3C4D"/>
    <w:rsid w:val="00EA7745"/>
    <w:rsid w:val="00EB21BF"/>
    <w:rsid w:val="00EB25B2"/>
    <w:rsid w:val="00EB2665"/>
    <w:rsid w:val="00EB79FB"/>
    <w:rsid w:val="00EC1554"/>
    <w:rsid w:val="00EC2025"/>
    <w:rsid w:val="00EC2E43"/>
    <w:rsid w:val="00EC3566"/>
    <w:rsid w:val="00EC3CC3"/>
    <w:rsid w:val="00EC5B08"/>
    <w:rsid w:val="00EC5DD8"/>
    <w:rsid w:val="00EC623C"/>
    <w:rsid w:val="00EC7B7A"/>
    <w:rsid w:val="00EC7B9C"/>
    <w:rsid w:val="00ED2A40"/>
    <w:rsid w:val="00ED3294"/>
    <w:rsid w:val="00ED56EF"/>
    <w:rsid w:val="00ED6A00"/>
    <w:rsid w:val="00EE115B"/>
    <w:rsid w:val="00EE1C5A"/>
    <w:rsid w:val="00EE2607"/>
    <w:rsid w:val="00EE413D"/>
    <w:rsid w:val="00EE5778"/>
    <w:rsid w:val="00EE6CC3"/>
    <w:rsid w:val="00EE78E1"/>
    <w:rsid w:val="00EF09A3"/>
    <w:rsid w:val="00EF11F9"/>
    <w:rsid w:val="00F00C18"/>
    <w:rsid w:val="00F012AE"/>
    <w:rsid w:val="00F03A19"/>
    <w:rsid w:val="00F04DC6"/>
    <w:rsid w:val="00F079BE"/>
    <w:rsid w:val="00F07D0D"/>
    <w:rsid w:val="00F104D7"/>
    <w:rsid w:val="00F13B0F"/>
    <w:rsid w:val="00F211C6"/>
    <w:rsid w:val="00F25922"/>
    <w:rsid w:val="00F2686A"/>
    <w:rsid w:val="00F277B2"/>
    <w:rsid w:val="00F37E69"/>
    <w:rsid w:val="00F408D6"/>
    <w:rsid w:val="00F50C7B"/>
    <w:rsid w:val="00F523E5"/>
    <w:rsid w:val="00F54182"/>
    <w:rsid w:val="00F55095"/>
    <w:rsid w:val="00F55939"/>
    <w:rsid w:val="00F601D0"/>
    <w:rsid w:val="00F65E1A"/>
    <w:rsid w:val="00F67A83"/>
    <w:rsid w:val="00F702EB"/>
    <w:rsid w:val="00F71C18"/>
    <w:rsid w:val="00F72127"/>
    <w:rsid w:val="00F74217"/>
    <w:rsid w:val="00F74C73"/>
    <w:rsid w:val="00F74D3C"/>
    <w:rsid w:val="00F75283"/>
    <w:rsid w:val="00F753CF"/>
    <w:rsid w:val="00F76F11"/>
    <w:rsid w:val="00F8064C"/>
    <w:rsid w:val="00F82353"/>
    <w:rsid w:val="00F82E0A"/>
    <w:rsid w:val="00F83242"/>
    <w:rsid w:val="00F859D5"/>
    <w:rsid w:val="00F90260"/>
    <w:rsid w:val="00F91188"/>
    <w:rsid w:val="00F96274"/>
    <w:rsid w:val="00FB012D"/>
    <w:rsid w:val="00FB1075"/>
    <w:rsid w:val="00FB1939"/>
    <w:rsid w:val="00FB326A"/>
    <w:rsid w:val="00FB6CB9"/>
    <w:rsid w:val="00FC03D4"/>
    <w:rsid w:val="00FC08C3"/>
    <w:rsid w:val="00FC1C9C"/>
    <w:rsid w:val="00FD1922"/>
    <w:rsid w:val="00FD1A1E"/>
    <w:rsid w:val="00FD308D"/>
    <w:rsid w:val="00FE754C"/>
    <w:rsid w:val="00FF6A3B"/>
    <w:rsid w:val="043A3F7F"/>
    <w:rsid w:val="082038E6"/>
    <w:rsid w:val="0B6013F2"/>
    <w:rsid w:val="0E5C209B"/>
    <w:rsid w:val="0E937FF7"/>
    <w:rsid w:val="10196EF9"/>
    <w:rsid w:val="11E164E5"/>
    <w:rsid w:val="13A85E50"/>
    <w:rsid w:val="164A2BA1"/>
    <w:rsid w:val="18D57CCC"/>
    <w:rsid w:val="19E47E89"/>
    <w:rsid w:val="1B0A43E8"/>
    <w:rsid w:val="1C2C6E7C"/>
    <w:rsid w:val="1EF93124"/>
    <w:rsid w:val="22750198"/>
    <w:rsid w:val="257B570D"/>
    <w:rsid w:val="287A4275"/>
    <w:rsid w:val="30110AE9"/>
    <w:rsid w:val="34DC77C8"/>
    <w:rsid w:val="36A46DB4"/>
    <w:rsid w:val="3730221B"/>
    <w:rsid w:val="38A810C6"/>
    <w:rsid w:val="3ACE72C7"/>
    <w:rsid w:val="3C27148A"/>
    <w:rsid w:val="3CB2519A"/>
    <w:rsid w:val="3E5B60DB"/>
    <w:rsid w:val="44973A6C"/>
    <w:rsid w:val="481C0CDA"/>
    <w:rsid w:val="492B471A"/>
    <w:rsid w:val="4E7D5F7E"/>
    <w:rsid w:val="508C2CB2"/>
    <w:rsid w:val="515F0981"/>
    <w:rsid w:val="525E4232"/>
    <w:rsid w:val="54D413B8"/>
    <w:rsid w:val="5A9802AF"/>
    <w:rsid w:val="5F6706D0"/>
    <w:rsid w:val="637F0FCD"/>
    <w:rsid w:val="66007D67"/>
    <w:rsid w:val="68D77510"/>
    <w:rsid w:val="73DB7DA6"/>
    <w:rsid w:val="760630B0"/>
    <w:rsid w:val="7D260BDE"/>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w:basedOn w:val="1"/>
    <w:uiPriority w:val="0"/>
    <w:rPr>
      <w:rFonts w:ascii="Tahoma" w:hAnsi="Tahoma"/>
      <w:sz w:val="24"/>
      <w:szCs w:val="20"/>
    </w:rPr>
  </w:style>
  <w:style w:type="paragraph" w:customStyle="1" w:styleId="9">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0">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E0FB6-7100-4EC1-BA3C-3CDA64335E05}">
  <ds:schemaRefs/>
</ds:datastoreItem>
</file>

<file path=docProps/app.xml><?xml version="1.0" encoding="utf-8"?>
<Properties xmlns="http://schemas.openxmlformats.org/officeDocument/2006/extended-properties" xmlns:vt="http://schemas.openxmlformats.org/officeDocument/2006/docPropsVTypes">
  <Template>Normal</Template>
  <Pages>41</Pages>
  <Words>10799</Words>
  <Characters>6263</Characters>
  <Lines>52</Lines>
  <Paragraphs>34</Paragraphs>
  <TotalTime>0</TotalTime>
  <ScaleCrop>false</ScaleCrop>
  <LinksUpToDate>false</LinksUpToDate>
  <CharactersWithSpaces>17028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2021-08-05T10:54:00Z</dcterms:created>
  <dc:creator>Administrator</dc:creator>
  <cp:lastModifiedBy>sfc-财务室</cp:lastModifiedBy>
  <cp:lastPrinted>2021-08-03T01:27:00Z</cp:lastPrinted>
  <dcterms:modified xsi:type="dcterms:W3CDTF">2021-08-06T08:15:29Z</dcterms:modified>
  <dc:title>内部资料，请勿外传（公开时请删除）</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