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tabs>
          <w:tab w:val="left" w:pos="1106"/>
          <w:tab w:val="left" w:pos="2208"/>
        </w:tabs>
        <w:spacing w:before="10"/>
        <w:ind w:right="300"/>
        <w:jc w:val="center"/>
        <w:rPr>
          <w:rFonts w:ascii="宋体" w:eastAsia="宋体"/>
          <w:b/>
          <w:sz w:val="44"/>
        </w:rPr>
      </w:pPr>
      <w:r>
        <w:rPr>
          <w:rFonts w:hint="eastAsia" w:ascii="宋体" w:eastAsia="宋体"/>
          <w:b/>
          <w:sz w:val="44"/>
        </w:rPr>
        <w:t>保</w:t>
      </w:r>
      <w:r>
        <w:rPr>
          <w:rFonts w:hint="eastAsia" w:ascii="宋体" w:eastAsia="宋体"/>
          <w:b/>
          <w:sz w:val="44"/>
        </w:rPr>
        <w:tab/>
      </w:r>
      <w:r>
        <w:rPr>
          <w:rFonts w:hint="eastAsia" w:ascii="宋体" w:eastAsia="宋体"/>
          <w:b/>
          <w:sz w:val="44"/>
        </w:rPr>
        <w:t>密</w:t>
      </w:r>
      <w:r>
        <w:rPr>
          <w:rFonts w:hint="eastAsia" w:ascii="宋体" w:eastAsia="宋体"/>
          <w:b/>
          <w:sz w:val="44"/>
        </w:rPr>
        <w:tab/>
      </w:r>
      <w:r>
        <w:rPr>
          <w:rFonts w:hint="eastAsia" w:ascii="宋体" w:eastAsia="宋体"/>
          <w:b/>
          <w:sz w:val="44"/>
        </w:rPr>
        <w:t>函</w:t>
      </w:r>
    </w:p>
    <w:p>
      <w:pPr>
        <w:spacing w:before="55"/>
        <w:ind w:left="437"/>
        <w:rPr>
          <w:rFonts w:ascii="宋体" w:eastAsia="宋体"/>
          <w:sz w:val="21"/>
        </w:rPr>
      </w:pPr>
      <w:r>
        <w:rPr>
          <w:rFonts w:ascii="宋体" w:eastAsia="宋体"/>
          <w:sz w:val="21"/>
        </w:rPr>
        <w:t>致：</w:t>
      </w:r>
      <w:r>
        <w:rPr>
          <w:rFonts w:hint="eastAsia" w:ascii="宋体" w:eastAsia="宋体"/>
          <w:sz w:val="21"/>
        </w:rPr>
        <w:t>山东省昌邑市人民法院</w:t>
      </w:r>
      <w:r>
        <w:rPr>
          <w:rFonts w:ascii="宋体" w:eastAsia="宋体"/>
          <w:sz w:val="21"/>
        </w:rPr>
        <w:t>（披露方）</w:t>
      </w:r>
    </w:p>
    <w:p>
      <w:pPr>
        <w:tabs>
          <w:tab w:val="left" w:pos="4299"/>
          <w:tab w:val="left" w:pos="7170"/>
        </w:tabs>
        <w:spacing w:before="43" w:line="278" w:lineRule="auto"/>
        <w:ind w:left="120" w:right="411" w:firstLine="316"/>
        <w:rPr>
          <w:rFonts w:ascii="宋体" w:hAnsi="宋体" w:eastAsia="宋体"/>
          <w:sz w:val="21"/>
        </w:rPr>
      </w:pPr>
      <w:r>
        <w:rPr>
          <w:rFonts w:ascii="宋体" w:hAnsi="宋体" w:eastAsia="宋体"/>
          <w:sz w:val="21"/>
        </w:rPr>
        <w:t>本保密函由</w:t>
      </w:r>
      <w:r>
        <w:rPr>
          <w:rFonts w:ascii="Times New Roman" w:hAnsi="Times New Roman" w:eastAsia="Times New Roman"/>
          <w:sz w:val="21"/>
          <w:u w:val="single"/>
        </w:rPr>
        <w:tab/>
      </w:r>
      <w:r>
        <w:rPr>
          <w:rFonts w:ascii="宋体" w:hAnsi="宋体" w:eastAsia="宋体"/>
          <w:sz w:val="21"/>
        </w:rPr>
        <w:t>（以下简称“接收方”）于</w:t>
      </w:r>
      <w:r>
        <w:rPr>
          <w:rFonts w:ascii="Times New Roman" w:hAnsi="Times New Roman" w:eastAsia="Times New Roman"/>
          <w:sz w:val="21"/>
          <w:u w:val="single"/>
        </w:rPr>
        <w:tab/>
      </w:r>
      <w:r>
        <w:rPr>
          <w:rFonts w:ascii="宋体" w:hAnsi="宋体" w:eastAsia="宋体"/>
          <w:sz w:val="21"/>
        </w:rPr>
        <w:t>年</w:t>
      </w:r>
      <w:r>
        <w:rPr>
          <w:rFonts w:ascii="宋体" w:hAnsi="宋体" w:eastAsia="宋体"/>
          <w:spacing w:val="99"/>
          <w:sz w:val="21"/>
          <w:u w:val="single"/>
        </w:rPr>
        <w:t xml:space="preserve"> </w:t>
      </w:r>
      <w:r>
        <w:rPr>
          <w:rFonts w:ascii="宋体" w:hAnsi="宋体" w:eastAsia="宋体"/>
          <w:sz w:val="21"/>
        </w:rPr>
        <w:t>月</w:t>
      </w:r>
      <w:r>
        <w:rPr>
          <w:rFonts w:ascii="宋体" w:hAnsi="宋体" w:eastAsia="宋体"/>
          <w:spacing w:val="97"/>
          <w:sz w:val="21"/>
          <w:u w:val="single"/>
        </w:rPr>
        <w:t xml:space="preserve"> </w:t>
      </w:r>
      <w:r>
        <w:rPr>
          <w:rFonts w:ascii="宋体" w:hAnsi="宋体" w:eastAsia="宋体"/>
          <w:sz w:val="21"/>
        </w:rPr>
        <w:t>日签署。</w:t>
      </w:r>
    </w:p>
    <w:p>
      <w:pPr>
        <w:spacing w:line="278" w:lineRule="auto"/>
        <w:ind w:left="120" w:right="308" w:firstLine="419"/>
        <w:rPr>
          <w:rFonts w:ascii="宋体" w:eastAsia="宋体"/>
          <w:sz w:val="21"/>
        </w:rPr>
      </w:pPr>
      <w:r>
        <w:rPr>
          <w:rFonts w:ascii="宋体" w:eastAsia="宋体"/>
          <w:sz w:val="21"/>
        </w:rPr>
        <w:t>鉴于披露方于本保密函签订之前或之后向接收方披露与项目（定义如下）有关的信息，</w:t>
      </w:r>
      <w:r>
        <w:rPr>
          <w:rFonts w:ascii="宋体" w:eastAsia="宋体"/>
          <w:spacing w:val="-102"/>
          <w:sz w:val="21"/>
        </w:rPr>
        <w:t xml:space="preserve"> </w:t>
      </w:r>
      <w:r>
        <w:rPr>
          <w:rFonts w:ascii="宋体" w:eastAsia="宋体"/>
          <w:sz w:val="21"/>
        </w:rPr>
        <w:t>就该等信息保密事宜，接收方出具如下保密函：</w:t>
      </w:r>
    </w:p>
    <w:p>
      <w:pPr>
        <w:pStyle w:val="9"/>
        <w:numPr>
          <w:ilvl w:val="0"/>
          <w:numId w:val="1"/>
        </w:numPr>
        <w:tabs>
          <w:tab w:val="left" w:pos="541"/>
        </w:tabs>
        <w:spacing w:line="269" w:lineRule="exact"/>
        <w:ind w:hanging="421"/>
        <w:jc w:val="both"/>
        <w:rPr>
          <w:rFonts w:ascii="宋体" w:eastAsia="宋体"/>
          <w:sz w:val="21"/>
        </w:rPr>
      </w:pPr>
      <w:r>
        <w:rPr>
          <w:rFonts w:ascii="宋体" w:eastAsia="宋体"/>
          <w:spacing w:val="-1"/>
          <w:sz w:val="21"/>
        </w:rPr>
        <w:t>定义：除非文中另有规定，</w:t>
      </w:r>
    </w:p>
    <w:p>
      <w:pPr>
        <w:spacing w:before="42" w:line="278" w:lineRule="auto"/>
        <w:ind w:left="120" w:right="411"/>
        <w:jc w:val="both"/>
        <w:rPr>
          <w:rFonts w:ascii="宋体" w:eastAsia="宋体"/>
          <w:sz w:val="21"/>
        </w:rPr>
      </w:pPr>
      <w:r>
        <w:rPr>
          <w:rFonts w:ascii="宋体" w:eastAsia="宋体"/>
          <w:sz w:val="21"/>
        </w:rPr>
        <w:t>保密信息是指（i）任何由披露方提供的项目信息和与项目有关的信息；（</w:t>
      </w:r>
      <w:r>
        <w:rPr>
          <w:rFonts w:ascii="Times New Roman" w:eastAsia="Times New Roman"/>
          <w:sz w:val="21"/>
        </w:rPr>
        <w:t>ii</w:t>
      </w:r>
      <w:r>
        <w:rPr>
          <w:rFonts w:ascii="宋体" w:eastAsia="宋体"/>
          <w:sz w:val="21"/>
        </w:rPr>
        <w:t>）任何已向接</w:t>
      </w:r>
      <w:r>
        <w:rPr>
          <w:rFonts w:ascii="宋体" w:eastAsia="宋体"/>
          <w:spacing w:val="-4"/>
          <w:sz w:val="21"/>
        </w:rPr>
        <w:t>收方披露的或将要向接收方披露与项目有关的相关文件和资料，无论该等信息以何种方式或</w:t>
      </w:r>
      <w:r>
        <w:rPr>
          <w:rFonts w:ascii="宋体" w:eastAsia="宋体"/>
          <w:sz w:val="21"/>
        </w:rPr>
        <w:t>何种载体披露的。</w:t>
      </w:r>
    </w:p>
    <w:p>
      <w:pPr>
        <w:spacing w:line="269" w:lineRule="exact"/>
        <w:ind w:left="120"/>
        <w:rPr>
          <w:rFonts w:ascii="宋体" w:eastAsia="宋体"/>
          <w:sz w:val="21"/>
        </w:rPr>
      </w:pPr>
      <w:r>
        <w:rPr>
          <w:rFonts w:ascii="宋体" w:eastAsia="宋体"/>
          <w:sz w:val="21"/>
        </w:rPr>
        <w:t>项目是指：</w:t>
      </w:r>
      <w:r>
        <w:rPr>
          <w:rFonts w:hint="eastAsia" w:ascii="Times New Roman" w:eastAsiaTheme="minorEastAsia"/>
          <w:sz w:val="21"/>
          <w:u w:val="single"/>
        </w:rPr>
        <w:t>山东昌邑石化有限公司重整</w:t>
      </w:r>
      <w:r>
        <w:rPr>
          <w:rFonts w:ascii="宋体" w:eastAsia="宋体"/>
          <w:sz w:val="21"/>
        </w:rPr>
        <w:t>项目。</w:t>
      </w:r>
    </w:p>
    <w:p>
      <w:pPr>
        <w:pStyle w:val="9"/>
        <w:numPr>
          <w:ilvl w:val="0"/>
          <w:numId w:val="1"/>
        </w:numPr>
        <w:tabs>
          <w:tab w:val="left" w:pos="541"/>
        </w:tabs>
        <w:spacing w:before="44" w:line="278" w:lineRule="auto"/>
        <w:ind w:left="120" w:right="411" w:firstLine="0"/>
        <w:jc w:val="both"/>
        <w:rPr>
          <w:rFonts w:ascii="宋体" w:hAnsi="宋体" w:eastAsia="宋体"/>
          <w:sz w:val="21"/>
        </w:rPr>
      </w:pPr>
      <w:r>
        <w:rPr>
          <w:rFonts w:ascii="宋体" w:hAnsi="宋体" w:eastAsia="宋体"/>
          <w:spacing w:val="-6"/>
          <w:sz w:val="21"/>
        </w:rPr>
        <w:t>有鉴于披露方向接收方披露保密信息，接收方同意其应对保密信息予以严格保密并应采</w:t>
      </w:r>
      <w:r>
        <w:rPr>
          <w:rFonts w:ascii="宋体" w:hAnsi="宋体" w:eastAsia="宋体"/>
          <w:spacing w:val="-3"/>
          <w:sz w:val="21"/>
        </w:rPr>
        <w:t>取一切所需的措施予以保密，除了以“需要知道”为前提向直接参与本项目并且已同意遵守本保密函条款的接收方的合伙人、成员、员工或顾问披露外，不得向任何其他个人或实体披</w:t>
      </w:r>
      <w:r>
        <w:rPr>
          <w:rFonts w:ascii="宋体" w:hAnsi="宋体" w:eastAsia="宋体"/>
          <w:sz w:val="21"/>
        </w:rPr>
        <w:t>露或泄露保密信息的存在和内容。</w:t>
      </w:r>
    </w:p>
    <w:p>
      <w:pPr>
        <w:pStyle w:val="9"/>
        <w:numPr>
          <w:ilvl w:val="0"/>
          <w:numId w:val="1"/>
        </w:numPr>
        <w:tabs>
          <w:tab w:val="left" w:pos="598"/>
        </w:tabs>
        <w:spacing w:line="278" w:lineRule="auto"/>
        <w:ind w:left="120" w:right="417" w:firstLine="0"/>
        <w:jc w:val="both"/>
        <w:rPr>
          <w:rFonts w:ascii="Times New Roman" w:eastAsia="Times New Roman"/>
          <w:sz w:val="21"/>
        </w:rPr>
      </w:pPr>
      <w:r>
        <w:rPr>
          <w:rFonts w:ascii="宋体" w:eastAsia="宋体"/>
          <w:sz w:val="21"/>
        </w:rPr>
        <w:t>接收方承诺不会向任何媒体透露任何保密信息，或在公开途径发表与项目有关的任何言论、意见等。</w:t>
      </w:r>
    </w:p>
    <w:p>
      <w:pPr>
        <w:pStyle w:val="9"/>
        <w:numPr>
          <w:ilvl w:val="0"/>
          <w:numId w:val="1"/>
        </w:numPr>
        <w:tabs>
          <w:tab w:val="left" w:pos="541"/>
        </w:tabs>
        <w:spacing w:line="278" w:lineRule="auto"/>
        <w:ind w:left="120" w:right="411" w:firstLine="0"/>
        <w:jc w:val="both"/>
        <w:rPr>
          <w:rFonts w:ascii="宋体" w:eastAsia="宋体"/>
          <w:sz w:val="21"/>
        </w:rPr>
      </w:pPr>
      <w:r>
        <w:rPr>
          <w:rFonts w:ascii="宋体" w:eastAsia="宋体"/>
          <w:spacing w:val="-4"/>
          <w:sz w:val="21"/>
        </w:rPr>
        <w:t xml:space="preserve">如有书面证据显示存在下列情形，接收方可不受本保密函上述第 </w:t>
      </w:r>
      <w:r>
        <w:rPr>
          <w:rFonts w:ascii="宋体" w:eastAsia="宋体"/>
          <w:spacing w:val="-1"/>
          <w:sz w:val="21"/>
        </w:rPr>
        <w:t>2</w:t>
      </w:r>
      <w:r>
        <w:rPr>
          <w:rFonts w:ascii="宋体" w:eastAsia="宋体"/>
          <w:spacing w:val="-33"/>
          <w:sz w:val="21"/>
        </w:rPr>
        <w:t xml:space="preserve"> 条、第 </w:t>
      </w:r>
      <w:r>
        <w:rPr>
          <w:rFonts w:ascii="Times New Roman" w:eastAsia="Times New Roman"/>
          <w:spacing w:val="-1"/>
          <w:sz w:val="21"/>
        </w:rPr>
        <w:t>3</w:t>
      </w:r>
      <w:r>
        <w:rPr>
          <w:rFonts w:ascii="Times New Roman" w:eastAsia="Times New Roman"/>
          <w:spacing w:val="-3"/>
          <w:sz w:val="21"/>
        </w:rPr>
        <w:t xml:space="preserve"> </w:t>
      </w:r>
      <w:r>
        <w:rPr>
          <w:rFonts w:ascii="宋体" w:eastAsia="宋体"/>
          <w:spacing w:val="-1"/>
          <w:sz w:val="21"/>
        </w:rPr>
        <w:t>条规定的保</w:t>
      </w:r>
      <w:r>
        <w:rPr>
          <w:rFonts w:ascii="宋体" w:eastAsia="宋体"/>
          <w:sz w:val="21"/>
        </w:rPr>
        <w:t>密责任和使用限制的约束：</w:t>
      </w:r>
    </w:p>
    <w:p>
      <w:pPr>
        <w:pStyle w:val="9"/>
        <w:numPr>
          <w:ilvl w:val="1"/>
          <w:numId w:val="1"/>
        </w:numPr>
        <w:tabs>
          <w:tab w:val="left" w:pos="541"/>
        </w:tabs>
        <w:spacing w:line="269" w:lineRule="exact"/>
        <w:ind w:hanging="421"/>
        <w:jc w:val="both"/>
        <w:rPr>
          <w:rFonts w:ascii="宋体" w:eastAsia="宋体"/>
          <w:sz w:val="21"/>
        </w:rPr>
      </w:pPr>
      <w:r>
        <w:rPr>
          <w:rFonts w:ascii="宋体" w:eastAsia="宋体"/>
          <w:spacing w:val="-1"/>
          <w:sz w:val="21"/>
        </w:rPr>
        <w:t>于披露时，保密信息已进入公共领域；</w:t>
      </w:r>
    </w:p>
    <w:p>
      <w:pPr>
        <w:pStyle w:val="9"/>
        <w:numPr>
          <w:ilvl w:val="1"/>
          <w:numId w:val="1"/>
        </w:numPr>
        <w:tabs>
          <w:tab w:val="left" w:pos="541"/>
        </w:tabs>
        <w:spacing w:before="42" w:line="278" w:lineRule="auto"/>
        <w:ind w:left="120" w:right="423" w:firstLine="0"/>
        <w:jc w:val="both"/>
        <w:rPr>
          <w:rFonts w:ascii="宋体" w:eastAsia="宋体"/>
          <w:sz w:val="21"/>
        </w:rPr>
      </w:pPr>
      <w:r>
        <w:rPr>
          <w:rFonts w:ascii="宋体" w:eastAsia="宋体"/>
          <w:sz w:val="21"/>
        </w:rPr>
        <w:t>保密信息非因接收方违反本保密函的规定而被出版或以其他方式成为公众信息的一部分；</w:t>
      </w:r>
    </w:p>
    <w:p>
      <w:pPr>
        <w:pStyle w:val="9"/>
        <w:numPr>
          <w:ilvl w:val="1"/>
          <w:numId w:val="1"/>
        </w:numPr>
        <w:tabs>
          <w:tab w:val="left" w:pos="541"/>
        </w:tabs>
        <w:spacing w:line="269" w:lineRule="exact"/>
        <w:ind w:hanging="421"/>
        <w:jc w:val="both"/>
        <w:rPr>
          <w:rFonts w:ascii="宋体" w:eastAsia="宋体"/>
          <w:sz w:val="21"/>
        </w:rPr>
      </w:pPr>
      <w:r>
        <w:rPr>
          <w:rFonts w:ascii="宋体" w:eastAsia="宋体"/>
          <w:spacing w:val="-1"/>
          <w:sz w:val="21"/>
        </w:rPr>
        <w:t>于披露时，保密信息已为接收方所知；</w:t>
      </w:r>
    </w:p>
    <w:p>
      <w:pPr>
        <w:pStyle w:val="9"/>
        <w:numPr>
          <w:ilvl w:val="1"/>
          <w:numId w:val="1"/>
        </w:numPr>
        <w:tabs>
          <w:tab w:val="left" w:pos="541"/>
        </w:tabs>
        <w:spacing w:before="44"/>
        <w:ind w:hanging="421"/>
        <w:jc w:val="both"/>
        <w:rPr>
          <w:rFonts w:ascii="宋体" w:eastAsia="宋体"/>
          <w:sz w:val="21"/>
        </w:rPr>
      </w:pPr>
      <w:r>
        <w:rPr>
          <w:rFonts w:ascii="宋体" w:eastAsia="宋体"/>
          <w:spacing w:val="-1"/>
          <w:sz w:val="21"/>
        </w:rPr>
        <w:t>由不负有任何保密责任的第三方向接收方披露的保密信息。</w:t>
      </w:r>
    </w:p>
    <w:p>
      <w:pPr>
        <w:spacing w:before="42" w:line="278" w:lineRule="auto"/>
        <w:ind w:left="120" w:right="411"/>
        <w:jc w:val="both"/>
        <w:rPr>
          <w:rFonts w:ascii="宋体" w:eastAsia="宋体"/>
          <w:sz w:val="21"/>
        </w:rPr>
      </w:pPr>
      <w:r>
        <w:rPr>
          <w:rFonts w:ascii="宋体" w:eastAsia="宋体"/>
          <w:spacing w:val="-3"/>
          <w:sz w:val="21"/>
        </w:rPr>
        <w:t xml:space="preserve">上述接收方保密责任和保密信息使用限制的例外，仅适用于接收方通过上述 </w:t>
      </w:r>
      <w:r>
        <w:rPr>
          <w:rFonts w:ascii="宋体" w:eastAsia="宋体"/>
          <w:sz w:val="21"/>
        </w:rPr>
        <w:t>a，</w:t>
      </w:r>
      <w:r>
        <w:rPr>
          <w:rFonts w:ascii="Times New Roman" w:eastAsia="Times New Roman"/>
          <w:sz w:val="21"/>
        </w:rPr>
        <w:t>b</w:t>
      </w:r>
      <w:r>
        <w:rPr>
          <w:rFonts w:ascii="宋体" w:eastAsia="宋体"/>
          <w:sz w:val="21"/>
        </w:rPr>
        <w:t>，</w:t>
      </w:r>
      <w:r>
        <w:rPr>
          <w:rFonts w:ascii="Times New Roman" w:eastAsia="Times New Roman"/>
          <w:sz w:val="21"/>
        </w:rPr>
        <w:t>c</w:t>
      </w:r>
      <w:r>
        <w:rPr>
          <w:rFonts w:ascii="宋体" w:eastAsia="宋体"/>
          <w:sz w:val="21"/>
        </w:rPr>
        <w:t>，</w:t>
      </w:r>
      <w:r>
        <w:rPr>
          <w:rFonts w:ascii="Times New Roman" w:eastAsia="Times New Roman"/>
          <w:sz w:val="21"/>
        </w:rPr>
        <w:t>d</w:t>
      </w:r>
      <w:r>
        <w:rPr>
          <w:rFonts w:ascii="Times New Roman" w:eastAsia="Times New Roman"/>
          <w:spacing w:val="12"/>
          <w:sz w:val="21"/>
        </w:rPr>
        <w:t xml:space="preserve"> </w:t>
      </w:r>
      <w:r>
        <w:rPr>
          <w:rFonts w:ascii="宋体" w:eastAsia="宋体"/>
          <w:sz w:val="21"/>
        </w:rPr>
        <w:t>四种途径之一所获取的信息，并且该等信息与依据本保密函所披露的保密信息是相同的。</w:t>
      </w:r>
    </w:p>
    <w:p>
      <w:pPr>
        <w:pStyle w:val="9"/>
        <w:numPr>
          <w:ilvl w:val="0"/>
          <w:numId w:val="1"/>
        </w:numPr>
        <w:tabs>
          <w:tab w:val="left" w:pos="541"/>
        </w:tabs>
        <w:spacing w:line="278" w:lineRule="auto"/>
        <w:ind w:left="120" w:right="411" w:firstLine="0"/>
        <w:jc w:val="both"/>
        <w:rPr>
          <w:rFonts w:ascii="宋体" w:eastAsia="宋体"/>
          <w:sz w:val="21"/>
        </w:rPr>
      </w:pPr>
      <w:r>
        <w:rPr>
          <w:rFonts w:ascii="宋体" w:eastAsia="宋体"/>
          <w:spacing w:val="-4"/>
          <w:sz w:val="21"/>
        </w:rPr>
        <w:t>本保密函持续有效至项目破产程序结束或披露方书面通知终止之日。以较早发生的日期</w:t>
      </w:r>
      <w:r>
        <w:rPr>
          <w:rFonts w:ascii="宋体" w:eastAsia="宋体"/>
          <w:sz w:val="21"/>
        </w:rPr>
        <w:t>为准。</w:t>
      </w:r>
    </w:p>
    <w:p>
      <w:pPr>
        <w:pStyle w:val="9"/>
        <w:numPr>
          <w:ilvl w:val="0"/>
          <w:numId w:val="1"/>
        </w:numPr>
        <w:tabs>
          <w:tab w:val="left" w:pos="541"/>
        </w:tabs>
        <w:spacing w:line="278" w:lineRule="auto"/>
        <w:ind w:left="120" w:right="411" w:firstLine="0"/>
        <w:jc w:val="both"/>
        <w:rPr>
          <w:rFonts w:ascii="宋体" w:hAnsi="宋体" w:eastAsia="宋体"/>
          <w:sz w:val="21"/>
        </w:rPr>
      </w:pPr>
      <w:r>
        <w:rPr>
          <w:rFonts w:ascii="宋体" w:hAnsi="宋体" w:eastAsia="宋体"/>
          <w:sz w:val="21"/>
        </w:rPr>
        <w:t>接收方违反本保密函规定的义务而对披露方的“保密信息”为任何披露的</w:t>
      </w:r>
      <w:r>
        <w:rPr>
          <w:rFonts w:ascii="Times New Roman" w:hAnsi="Times New Roman" w:eastAsia="Times New Roman"/>
          <w:sz w:val="21"/>
        </w:rPr>
        <w:t>,</w:t>
      </w:r>
      <w:r>
        <w:rPr>
          <w:rFonts w:ascii="宋体" w:hAnsi="宋体" w:eastAsia="宋体"/>
          <w:sz w:val="21"/>
        </w:rPr>
        <w:t>接收方一经披露方要求</w:t>
      </w:r>
      <w:r>
        <w:rPr>
          <w:rFonts w:ascii="Times New Roman" w:hAnsi="Times New Roman" w:eastAsia="Times New Roman"/>
          <w:sz w:val="21"/>
        </w:rPr>
        <w:t>,</w:t>
      </w:r>
      <w:r>
        <w:rPr>
          <w:rFonts w:ascii="宋体" w:hAnsi="宋体" w:eastAsia="宋体"/>
          <w:sz w:val="21"/>
        </w:rPr>
        <w:t>应立即停止任何违反本保密函义务之行为</w:t>
      </w:r>
      <w:r>
        <w:rPr>
          <w:rFonts w:ascii="Times New Roman" w:hAnsi="Times New Roman" w:eastAsia="Times New Roman"/>
          <w:sz w:val="21"/>
        </w:rPr>
        <w:t>,</w:t>
      </w:r>
      <w:r>
        <w:rPr>
          <w:rFonts w:ascii="宋体" w:hAnsi="宋体" w:eastAsia="宋体"/>
          <w:sz w:val="21"/>
        </w:rPr>
        <w:t>并采取合理手段消除由此引起的任何不利影响，并赔偿因此给披露方造成的损失。</w:t>
      </w:r>
    </w:p>
    <w:p>
      <w:pPr>
        <w:pStyle w:val="9"/>
        <w:numPr>
          <w:ilvl w:val="0"/>
          <w:numId w:val="1"/>
        </w:numPr>
        <w:tabs>
          <w:tab w:val="left" w:pos="541"/>
        </w:tabs>
        <w:spacing w:line="278" w:lineRule="auto"/>
        <w:ind w:left="120" w:right="411" w:firstLine="0"/>
        <w:jc w:val="both"/>
        <w:rPr>
          <w:rFonts w:ascii="宋体" w:eastAsia="宋体"/>
          <w:sz w:val="21"/>
        </w:rPr>
      </w:pPr>
      <w:r>
        <w:rPr>
          <w:rFonts w:ascii="宋体" w:eastAsia="宋体"/>
          <w:sz w:val="21"/>
        </w:rPr>
        <w:t>本保密函终止时，接收方应（i）立即停止使用保密信息并向披露方归还所有保密信息的复印本或在本保密函终止的十日内销毁所有保密信息及其复印本，并且（</w:t>
      </w:r>
      <w:r>
        <w:rPr>
          <w:rFonts w:ascii="Times New Roman" w:eastAsia="Times New Roman"/>
          <w:sz w:val="21"/>
        </w:rPr>
        <w:t>ii</w:t>
      </w:r>
      <w:r>
        <w:rPr>
          <w:rFonts w:ascii="宋体" w:eastAsia="宋体"/>
          <w:sz w:val="21"/>
        </w:rPr>
        <w:t>）应披露方要求，书面声明接收方已应本条款之规定，履行了本条款项下的责任。</w:t>
      </w:r>
    </w:p>
    <w:p>
      <w:pPr>
        <w:pStyle w:val="9"/>
        <w:numPr>
          <w:ilvl w:val="0"/>
          <w:numId w:val="1"/>
        </w:numPr>
        <w:tabs>
          <w:tab w:val="left" w:pos="541"/>
        </w:tabs>
        <w:spacing w:line="278" w:lineRule="auto"/>
        <w:ind w:left="120" w:right="411" w:firstLine="0"/>
        <w:jc w:val="both"/>
        <w:rPr>
          <w:rFonts w:ascii="宋体" w:eastAsia="宋体"/>
          <w:sz w:val="21"/>
        </w:rPr>
      </w:pPr>
      <w:r>
        <w:rPr>
          <w:rFonts w:ascii="宋体" w:eastAsia="宋体"/>
          <w:sz w:val="21"/>
        </w:rPr>
        <w:t>如接收方收到传票或其他有效签发的行政命令或司法程序要求其披露全部或任何部分</w:t>
      </w:r>
      <w:r>
        <w:rPr>
          <w:rFonts w:ascii="宋体" w:eastAsia="宋体"/>
          <w:spacing w:val="-3"/>
          <w:sz w:val="21"/>
        </w:rPr>
        <w:t>保密信息，接收方应于披露之前立即通知披露方。在披露方要求下，接收方应与披露方合作</w:t>
      </w:r>
      <w:r>
        <w:rPr>
          <w:rFonts w:ascii="宋体" w:eastAsia="宋体"/>
          <w:sz w:val="21"/>
        </w:rPr>
        <w:t>对披露保密信息的要求进行抗辩。</w:t>
      </w:r>
    </w:p>
    <w:p>
      <w:pPr>
        <w:pStyle w:val="9"/>
        <w:numPr>
          <w:ilvl w:val="0"/>
          <w:numId w:val="1"/>
        </w:numPr>
        <w:tabs>
          <w:tab w:val="left" w:pos="541"/>
        </w:tabs>
        <w:spacing w:line="269" w:lineRule="exact"/>
        <w:ind w:hanging="421"/>
        <w:jc w:val="both"/>
        <w:rPr>
          <w:rFonts w:ascii="宋体" w:eastAsia="宋体"/>
          <w:sz w:val="21"/>
        </w:rPr>
      </w:pPr>
      <w:r>
        <w:rPr>
          <w:rFonts w:ascii="宋体" w:eastAsia="宋体"/>
          <w:sz w:val="21"/>
        </w:rPr>
        <w:t>本保密函经接收方签署后生效。</w:t>
      </w:r>
    </w:p>
    <w:p>
      <w:pPr>
        <w:pStyle w:val="2"/>
        <w:rPr>
          <w:rFonts w:ascii="宋体"/>
          <w:sz w:val="20"/>
        </w:rPr>
      </w:pPr>
    </w:p>
    <w:p>
      <w:pPr>
        <w:pStyle w:val="2"/>
        <w:rPr>
          <w:rFonts w:ascii="宋体"/>
          <w:sz w:val="20"/>
        </w:rPr>
      </w:pPr>
    </w:p>
    <w:p>
      <w:pPr>
        <w:spacing w:before="154"/>
        <w:ind w:left="120"/>
      </w:pPr>
      <w:r>
        <w:rPr>
          <w:rFonts w:ascii="宋体" w:eastAsia="宋体"/>
          <w:sz w:val="21"/>
        </w:rPr>
        <w:t>接收方（盖章或签字）：</w:t>
      </w:r>
      <w:bookmarkStart w:id="0" w:name="_GoBack"/>
      <w:bookmarkEnd w:id="0"/>
    </w:p>
    <w:sectPr>
      <w:footerReference r:id="rId3" w:type="default"/>
      <w:pgSz w:w="11910" w:h="16840"/>
      <w:pgMar w:top="1300" w:right="1380" w:bottom="1380" w:left="168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docshape1" o:spid="_x0000_s2049" o:spt="202" type="#_x0000_t202" style="position:absolute;left:0pt;margin-left:292.35pt;margin-top:771.1pt;height:11pt;width:11.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1."/>
      <w:lvlJc w:val="left"/>
      <w:pPr>
        <w:ind w:left="540" w:hanging="420"/>
        <w:jc w:val="left"/>
      </w:pPr>
      <w:rPr>
        <w:rFonts w:hint="default"/>
        <w:w w:val="100"/>
        <w:lang w:val="en-US" w:eastAsia="zh-CN" w:bidi="ar-SA"/>
      </w:rPr>
    </w:lvl>
    <w:lvl w:ilvl="1" w:tentative="0">
      <w:start w:val="1"/>
      <w:numFmt w:val="lowerLetter"/>
      <w:lvlText w:val="%2."/>
      <w:lvlJc w:val="left"/>
      <w:pPr>
        <w:ind w:left="540" w:hanging="420"/>
        <w:jc w:val="left"/>
      </w:pPr>
      <w:rPr>
        <w:rFonts w:hint="default" w:ascii="宋体" w:hAnsi="宋体" w:eastAsia="宋体" w:cs="宋体"/>
        <w:b w:val="0"/>
        <w:bCs w:val="0"/>
        <w:i w:val="0"/>
        <w:iCs w:val="0"/>
        <w:w w:val="100"/>
        <w:sz w:val="21"/>
        <w:szCs w:val="21"/>
        <w:lang w:val="en-US" w:eastAsia="zh-CN" w:bidi="ar-SA"/>
      </w:rPr>
    </w:lvl>
    <w:lvl w:ilvl="2" w:tentative="0">
      <w:start w:val="0"/>
      <w:numFmt w:val="bullet"/>
      <w:lvlText w:val="•"/>
      <w:lvlJc w:val="left"/>
      <w:pPr>
        <w:ind w:left="2201" w:hanging="420"/>
      </w:pPr>
      <w:rPr>
        <w:rFonts w:hint="default"/>
        <w:lang w:val="en-US" w:eastAsia="zh-CN" w:bidi="ar-SA"/>
      </w:rPr>
    </w:lvl>
    <w:lvl w:ilvl="3" w:tentative="0">
      <w:start w:val="0"/>
      <w:numFmt w:val="bullet"/>
      <w:lvlText w:val="•"/>
      <w:lvlJc w:val="left"/>
      <w:pPr>
        <w:ind w:left="3031" w:hanging="420"/>
      </w:pPr>
      <w:rPr>
        <w:rFonts w:hint="default"/>
        <w:lang w:val="en-US" w:eastAsia="zh-CN" w:bidi="ar-SA"/>
      </w:rPr>
    </w:lvl>
    <w:lvl w:ilvl="4" w:tentative="0">
      <w:start w:val="0"/>
      <w:numFmt w:val="bullet"/>
      <w:lvlText w:val="•"/>
      <w:lvlJc w:val="left"/>
      <w:pPr>
        <w:ind w:left="3862" w:hanging="420"/>
      </w:pPr>
      <w:rPr>
        <w:rFonts w:hint="default"/>
        <w:lang w:val="en-US" w:eastAsia="zh-CN" w:bidi="ar-SA"/>
      </w:rPr>
    </w:lvl>
    <w:lvl w:ilvl="5" w:tentative="0">
      <w:start w:val="0"/>
      <w:numFmt w:val="bullet"/>
      <w:lvlText w:val="•"/>
      <w:lvlJc w:val="left"/>
      <w:pPr>
        <w:ind w:left="4693" w:hanging="420"/>
      </w:pPr>
      <w:rPr>
        <w:rFonts w:hint="default"/>
        <w:lang w:val="en-US" w:eastAsia="zh-CN" w:bidi="ar-SA"/>
      </w:rPr>
    </w:lvl>
    <w:lvl w:ilvl="6" w:tentative="0">
      <w:start w:val="0"/>
      <w:numFmt w:val="bullet"/>
      <w:lvlText w:val="•"/>
      <w:lvlJc w:val="left"/>
      <w:pPr>
        <w:ind w:left="5523" w:hanging="420"/>
      </w:pPr>
      <w:rPr>
        <w:rFonts w:hint="default"/>
        <w:lang w:val="en-US" w:eastAsia="zh-CN" w:bidi="ar-SA"/>
      </w:rPr>
    </w:lvl>
    <w:lvl w:ilvl="7" w:tentative="0">
      <w:start w:val="0"/>
      <w:numFmt w:val="bullet"/>
      <w:lvlText w:val="•"/>
      <w:lvlJc w:val="left"/>
      <w:pPr>
        <w:ind w:left="6354" w:hanging="420"/>
      </w:pPr>
      <w:rPr>
        <w:rFonts w:hint="default"/>
        <w:lang w:val="en-US" w:eastAsia="zh-CN" w:bidi="ar-SA"/>
      </w:rPr>
    </w:lvl>
    <w:lvl w:ilvl="8" w:tentative="0">
      <w:start w:val="0"/>
      <w:numFmt w:val="bullet"/>
      <w:lvlText w:val="•"/>
      <w:lvlJc w:val="left"/>
      <w:pPr>
        <w:ind w:left="7185" w:hanging="42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docVars>
    <w:docVar w:name="commondata" w:val="eyJoZGlkIjoiNmJiYWY0YmYzMzE2NjRmYWYyMDQ4YzhiNzEyMTFmMmIifQ=="/>
  </w:docVars>
  <w:rsids>
    <w:rsidRoot w:val="005F7A3A"/>
    <w:rsid w:val="001B2B11"/>
    <w:rsid w:val="001D07C0"/>
    <w:rsid w:val="002C0A75"/>
    <w:rsid w:val="003309A7"/>
    <w:rsid w:val="003863DD"/>
    <w:rsid w:val="005F7A3A"/>
    <w:rsid w:val="00734CDE"/>
    <w:rsid w:val="00A31CCA"/>
    <w:rsid w:val="00B755EE"/>
    <w:rsid w:val="00BB7471"/>
    <w:rsid w:val="00E75203"/>
    <w:rsid w:val="00FF3EDE"/>
    <w:rsid w:val="07081142"/>
    <w:rsid w:val="0B0568EE"/>
    <w:rsid w:val="4EE12F8C"/>
    <w:rsid w:val="66A0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120" w:firstLine="561"/>
    </w:pPr>
  </w:style>
  <w:style w:type="paragraph" w:customStyle="1" w:styleId="10">
    <w:name w:val="Table Paragraph"/>
    <w:basedOn w:val="1"/>
    <w:qFormat/>
    <w:uiPriority w:val="1"/>
  </w:style>
  <w:style w:type="character" w:customStyle="1" w:styleId="11">
    <w:name w:val="页眉 Char"/>
    <w:basedOn w:val="7"/>
    <w:link w:val="5"/>
    <w:uiPriority w:val="0"/>
    <w:rPr>
      <w:rFonts w:ascii="仿宋" w:hAnsi="仿宋" w:eastAsia="仿宋" w:cs="仿宋"/>
      <w:sz w:val="18"/>
      <w:szCs w:val="18"/>
    </w:rPr>
  </w:style>
  <w:style w:type="character" w:customStyle="1" w:styleId="12">
    <w:name w:val="页脚 Char"/>
    <w:basedOn w:val="7"/>
    <w:link w:val="4"/>
    <w:uiPriority w:val="0"/>
    <w:rPr>
      <w:rFonts w:ascii="仿宋" w:hAnsi="仿宋" w:eastAsia="仿宋" w:cs="仿宋"/>
      <w:sz w:val="18"/>
      <w:szCs w:val="18"/>
    </w:rPr>
  </w:style>
  <w:style w:type="character" w:customStyle="1" w:styleId="13">
    <w:name w:val="批注框文本 Char"/>
    <w:basedOn w:val="7"/>
    <w:link w:val="3"/>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1785</Words>
  <Characters>1893</Characters>
  <Lines>157</Lines>
  <Paragraphs>122</Paragraphs>
  <TotalTime>60</TotalTime>
  <ScaleCrop>false</ScaleCrop>
  <LinksUpToDate>false</LinksUpToDate>
  <CharactersWithSpaces>3556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2023-11-16T05:33:00Z</dcterms:created>
  <dc:creator>Administrator</dc:creator>
  <cp:lastModifiedBy>Administrator</cp:lastModifiedBy>
  <cp:lastPrinted>2023-11-16T09:10:00Z</cp:lastPrinted>
  <dcterms:modified xsi:type="dcterms:W3CDTF">2023-11-17T01:50:44Z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KSOProductBuildVer">
    <vt:lpwstr>2052-11.1.0.9021</vt:lpwstr>
  </property>
  <property fmtid="{D5CDD505-2E9C-101B-9397-08002B2CF9AE}" pid="6" name="ICV">
    <vt:lpwstr>E6753DA7B34C43E7B9F7DB9328DCD765_12</vt:lpwstr>
  </property>
</Properties>
</file>