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center"/>
        <w:rPr>
          <w:rFonts w:eastAsia="Times New Roman" w:cs="Calibri"/>
          <w:sz w:val="30"/>
        </w:rPr>
      </w:pPr>
      <w:r>
        <w:rPr>
          <w:rFonts w:hint="eastAsia" w:ascii="宋体" w:hAnsi="宋体" w:cs="宋体"/>
          <w:sz w:val="30"/>
        </w:rPr>
        <w:t>威海市环翠区人民法院</w:t>
      </w:r>
    </w:p>
    <w:p>
      <w:pPr>
        <w:spacing w:line="540" w:lineRule="auto"/>
        <w:jc w:val="center"/>
        <w:rPr>
          <w:rFonts w:eastAsia="Times New Roman" w:cs="Calibri"/>
          <w:b/>
          <w:sz w:val="44"/>
        </w:rPr>
      </w:pPr>
      <w:r>
        <w:rPr>
          <w:rFonts w:hint="eastAsia" w:ascii="宋体" w:hAnsi="宋体" w:cs="宋体"/>
          <w:b/>
          <w:sz w:val="44"/>
        </w:rPr>
        <w:t>诉讼风险告知</w:t>
      </w:r>
    </w:p>
    <w:p>
      <w:pPr>
        <w:spacing w:line="540" w:lineRule="auto"/>
        <w:jc w:val="center"/>
        <w:rPr>
          <w:rFonts w:eastAsia="Times New Roman" w:cs="Calibri"/>
          <w:b/>
          <w:sz w:val="44"/>
        </w:rPr>
      </w:pP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为方便人民群众更加理性、快捷、有效的解决纠纷，帮助当事人避免常见的诉讼风险，减少不必要的损失，根据相关法律和司法解释的规定，现将常见的诉讼风险及纠纷解决方式提示如下，请广大公民、法人提起诉讼前认真阅读本告知书，经过慎重考虑后再决定您将要选择的纠纷解决方式。</w:t>
      </w: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一、诉讼前要算好“五笔账”</w:t>
      </w: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一是算风险帐</w:t>
      </w:r>
      <w:r>
        <w:rPr>
          <w:rFonts w:ascii="华文仿宋" w:hAnsi="华文仿宋" w:eastAsia="华文仿宋" w:cs="华文仿宋"/>
          <w:sz w:val="28"/>
          <w:szCs w:val="28"/>
        </w:rPr>
        <w:t>——</w:t>
      </w:r>
      <w:r>
        <w:rPr>
          <w:rFonts w:hint="eastAsia" w:ascii="华文仿宋" w:hAnsi="华文仿宋" w:eastAsia="华文仿宋" w:cs="华文仿宋"/>
          <w:sz w:val="28"/>
          <w:szCs w:val="28"/>
        </w:rPr>
        <w:t>风险处处在，官司不例外；二是算亲情帐</w:t>
      </w:r>
      <w:r>
        <w:rPr>
          <w:rFonts w:ascii="华文仿宋" w:hAnsi="华文仿宋" w:eastAsia="华文仿宋" w:cs="华文仿宋"/>
          <w:sz w:val="28"/>
          <w:szCs w:val="28"/>
        </w:rPr>
        <w:t>——</w:t>
      </w:r>
      <w:r>
        <w:rPr>
          <w:rFonts w:hint="eastAsia" w:ascii="华文仿宋" w:hAnsi="华文仿宋" w:eastAsia="华文仿宋" w:cs="华文仿宋"/>
          <w:sz w:val="28"/>
          <w:szCs w:val="28"/>
        </w:rPr>
        <w:t>亲情浓于水，家和万事兴；三是算诚信帐</w:t>
      </w:r>
      <w:r>
        <w:rPr>
          <w:rFonts w:ascii="华文仿宋" w:hAnsi="华文仿宋" w:eastAsia="华文仿宋" w:cs="华文仿宋"/>
          <w:sz w:val="28"/>
          <w:szCs w:val="28"/>
        </w:rPr>
        <w:t>——</w:t>
      </w:r>
      <w:r>
        <w:rPr>
          <w:rFonts w:hint="eastAsia" w:ascii="华文仿宋" w:hAnsi="华文仿宋" w:eastAsia="华文仿宋" w:cs="华文仿宋"/>
          <w:sz w:val="28"/>
          <w:szCs w:val="28"/>
        </w:rPr>
        <w:t>诚信是块宝，信誉不能少；四是算时间账</w:t>
      </w:r>
      <w:r>
        <w:rPr>
          <w:rFonts w:ascii="华文仿宋" w:hAnsi="华文仿宋" w:eastAsia="华文仿宋" w:cs="华文仿宋"/>
          <w:sz w:val="28"/>
          <w:szCs w:val="28"/>
        </w:rPr>
        <w:t>——</w:t>
      </w:r>
      <w:r>
        <w:rPr>
          <w:rFonts w:hint="eastAsia" w:ascii="华文仿宋" w:hAnsi="华文仿宋" w:eastAsia="华文仿宋" w:cs="华文仿宋"/>
          <w:sz w:val="28"/>
          <w:szCs w:val="28"/>
        </w:rPr>
        <w:t>司法按程序，期限不会短；五是算经济账</w:t>
      </w:r>
      <w:r>
        <w:rPr>
          <w:rFonts w:ascii="华文仿宋" w:hAnsi="华文仿宋" w:eastAsia="华文仿宋" w:cs="华文仿宋"/>
          <w:sz w:val="28"/>
          <w:szCs w:val="28"/>
        </w:rPr>
        <w:t>——</w:t>
      </w:r>
      <w:r>
        <w:rPr>
          <w:rFonts w:hint="eastAsia" w:ascii="华文仿宋" w:hAnsi="华文仿宋" w:eastAsia="华文仿宋" w:cs="华文仿宋"/>
          <w:sz w:val="28"/>
          <w:szCs w:val="28"/>
        </w:rPr>
        <w:t>赌气争利益，成本要细算。</w:t>
      </w: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二、常见诉讼风险告知</w:t>
      </w:r>
    </w:p>
    <w:p>
      <w:pPr>
        <w:spacing w:line="540" w:lineRule="auto"/>
        <w:ind w:firstLine="585"/>
        <w:jc w:val="left"/>
        <w:rPr>
          <w:rFonts w:ascii="华文仿宋" w:hAnsi="华文仿宋" w:eastAsia="华文仿宋" w:cs="华文仿宋"/>
          <w:sz w:val="28"/>
          <w:szCs w:val="28"/>
        </w:rPr>
      </w:pPr>
      <w:r>
        <w:rPr>
          <w:rFonts w:hint="eastAsia" w:ascii="华文仿宋" w:hAnsi="华文仿宋" w:eastAsia="华文仿宋" w:cs="华文仿宋"/>
          <w:sz w:val="28"/>
          <w:szCs w:val="28"/>
        </w:rPr>
        <w:t>（一）起诉要符合法定条件，否则人民法院不予受理；已经受理的裁定驳回起诉；不符合管辖规定的，移送有管辖权的人民法院；虚假诉讼、恶意诉讼、违法诉讼的，还要承担相应的法律责任。（二）起诉、反诉、上诉、申请财产保全等应按规定交纳相关费用，否则人民法院将会裁定按自动撤回起诉、反诉、上诉或申请处理。（三）当事人申请财产保全未提供财产保全线索或清单、未按要求提供相应财产担保的，人民法院将依法驳回其申请；申请人申请保全有错误的，要赔偿被申请人因此所受的损失。（四）当事人请求人民法院保护民事权利的期间一般为二年（特殊的为一年），超过诉讼时效的，将丧失胜诉权。（五）当事人提供的诉讼请求或者主张应提供证据，否则可能面临不利的裁判后果。（六）对需要经鉴定、审计、评估的事项负有举证责任的当事人，在人民法院指定期限内无正当理由未提出申请、或未缴纳相关费用、或拒不提供相关材料的，将会承担由此带来的不利后果。（七）双方当事人应遵从法院传票传唤，按时到庭，遵守法庭秩序，否则人民法院将会对原告按自动撤回起诉处理、对被告按缺席判决处理。（八）申请执行的期限为二年，超过上述期限，人民法院不予受理，对方无履行能力还会出现执行不能的法律后果。</w:t>
      </w: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三、理性选择纠纷解决方式</w:t>
      </w:r>
    </w:p>
    <w:p>
      <w:pPr>
        <w:spacing w:line="540" w:lineRule="auto"/>
        <w:ind w:firstLine="600"/>
        <w:rPr>
          <w:rFonts w:ascii="华文仿宋" w:hAnsi="华文仿宋" w:eastAsia="华文仿宋" w:cs="华文仿宋"/>
          <w:sz w:val="28"/>
          <w:szCs w:val="28"/>
        </w:rPr>
      </w:pPr>
      <w:r>
        <w:rPr>
          <w:rFonts w:hint="eastAsia" w:ascii="华文仿宋" w:hAnsi="华文仿宋" w:eastAsia="华文仿宋" w:cs="华文仿宋"/>
          <w:sz w:val="28"/>
          <w:szCs w:val="28"/>
        </w:rPr>
        <w:t>纠纷的解决方式有很多，诉讼不一定是最经济实惠、方便快捷的方式。一般纠纷到双方住所地的人民调解委员会调解或到相关的行业调解组织调解（例如：医疗纠纷人民调解委员会、道路交通事故纠纷人民调解委员会、海洋与渔业争议人民调解委员会、劳动人事争议人民调解委员会等），也可申请法院诉前调解。</w:t>
      </w:r>
    </w:p>
    <w:p>
      <w:pPr>
        <w:spacing w:line="540" w:lineRule="auto"/>
        <w:ind w:firstLine="600"/>
        <w:rPr>
          <w:rFonts w:ascii="华文仿宋" w:hAnsi="华文仿宋" w:eastAsia="华文仿宋" w:cs="华文仿宋"/>
          <w:color w:val="FF0000"/>
          <w:sz w:val="28"/>
          <w:szCs w:val="28"/>
        </w:rPr>
      </w:pPr>
      <w:r>
        <w:rPr>
          <w:rFonts w:hint="eastAsia" w:ascii="华文仿宋" w:hAnsi="华文仿宋" w:eastAsia="华文仿宋" w:cs="华文仿宋"/>
          <w:sz w:val="28"/>
          <w:szCs w:val="28"/>
        </w:rPr>
        <w:t>上述方式具有程序相</w:t>
      </w:r>
      <w:bookmarkStart w:id="0" w:name="_GoBack"/>
      <w:bookmarkEnd w:id="0"/>
      <w:r>
        <w:rPr>
          <w:rFonts w:hint="eastAsia" w:ascii="华文仿宋" w:hAnsi="华文仿宋" w:eastAsia="华文仿宋" w:cs="华文仿宋"/>
          <w:sz w:val="28"/>
          <w:szCs w:val="28"/>
        </w:rPr>
        <w:t>对简单、处理时间较短、费用相对低廉或不收费等特点。希望您综合考虑各种解决方式后选择一种对您最经济、方便有效的方式解决纠纷。</w:t>
      </w:r>
    </w:p>
    <w:p>
      <w:pPr>
        <w:spacing w:line="540" w:lineRule="auto"/>
        <w:ind w:firstLine="585"/>
        <w:jc w:val="left"/>
        <w:rPr>
          <w:rFonts w:ascii="华文仿宋" w:hAnsi="华文仿宋" w:eastAsia="华文仿宋" w:cs="华文仿宋"/>
          <w:sz w:val="28"/>
          <w:szCs w:val="28"/>
        </w:rPr>
      </w:pPr>
    </w:p>
    <w:tbl>
      <w:tblPr>
        <w:tblStyle w:val="5"/>
        <w:tblW w:w="9286" w:type="dxa"/>
        <w:tblInd w:w="0" w:type="dxa"/>
        <w:tblLayout w:type="fixed"/>
        <w:tblCellMar>
          <w:top w:w="0" w:type="dxa"/>
          <w:left w:w="10" w:type="dxa"/>
          <w:bottom w:w="0" w:type="dxa"/>
          <w:right w:w="10" w:type="dxa"/>
        </w:tblCellMar>
      </w:tblPr>
      <w:tblGrid>
        <w:gridCol w:w="9286"/>
      </w:tblGrid>
      <w:tr>
        <w:tblPrEx>
          <w:tblLayout w:type="fixed"/>
          <w:tblCellMar>
            <w:top w:w="0" w:type="dxa"/>
            <w:left w:w="10" w:type="dxa"/>
            <w:bottom w:w="0" w:type="dxa"/>
            <w:right w:w="10" w:type="dxa"/>
          </w:tblCellMar>
        </w:tblPrEx>
        <w:trPr>
          <w:trHeight w:val="2249" w:hRule="atLeast"/>
        </w:trPr>
        <w:tc>
          <w:tcPr>
            <w:tcW w:w="9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bottom"/>
          </w:tcPr>
          <w:p>
            <w:pPr>
              <w:spacing w:line="540" w:lineRule="auto"/>
              <w:ind w:left="3195" w:leftChars="387" w:hanging="2448" w:hangingChars="931"/>
              <w:rPr>
                <w:rFonts w:ascii="华文仿宋" w:hAnsi="华文仿宋" w:eastAsia="华文仿宋" w:cs="华文仿宋"/>
                <w:sz w:val="28"/>
                <w:szCs w:val="28"/>
              </w:rPr>
            </w:pPr>
            <w:r>
              <w:rPr>
                <w:rFonts w:hint="eastAsia" w:ascii="华文仿宋" w:hAnsi="华文仿宋" w:eastAsia="华文仿宋" w:cs="华文仿宋"/>
                <w:sz w:val="28"/>
                <w:szCs w:val="28"/>
              </w:rPr>
              <w:t>以上内容我已仔细阅读，经慎重考虑，我选择    方式解决。</w:t>
            </w:r>
            <w:r>
              <w:rPr>
                <w:rFonts w:ascii="华文仿宋" w:hAnsi="华文仿宋" w:eastAsia="华文仿宋" w:cs="华文仿宋"/>
                <w:sz w:val="28"/>
                <w:szCs w:val="28"/>
              </w:rPr>
              <w:t xml:space="preserve">                                </w:t>
            </w:r>
            <w:r>
              <w:rPr>
                <w:rFonts w:hint="eastAsia" w:ascii="华文仿宋" w:hAnsi="华文仿宋" w:eastAsia="华文仿宋" w:cs="华文仿宋"/>
                <w:sz w:val="28"/>
                <w:szCs w:val="28"/>
              </w:rPr>
              <w:t>当事人签名或盖章：</w:t>
            </w:r>
          </w:p>
          <w:p>
            <w:pPr>
              <w:spacing w:line="540" w:lineRule="auto"/>
              <w:ind w:left="3188" w:leftChars="1652" w:firstLine="2577" w:firstLineChars="980"/>
              <w:rPr>
                <w:sz w:val="28"/>
                <w:szCs w:val="28"/>
              </w:rPr>
            </w:pPr>
            <w:r>
              <w:rPr>
                <w:rFonts w:hint="eastAsia" w:ascii="华文仿宋" w:hAnsi="华文仿宋" w:eastAsia="华文仿宋" w:cs="华文仿宋"/>
                <w:sz w:val="28"/>
                <w:szCs w:val="28"/>
              </w:rPr>
              <w:t>年</w:t>
            </w:r>
            <w:r>
              <w:rPr>
                <w:rFonts w:ascii="华文仿宋" w:hAnsi="华文仿宋" w:eastAsia="华文仿宋" w:cs="华文仿宋"/>
                <w:sz w:val="28"/>
                <w:szCs w:val="28"/>
              </w:rPr>
              <w:t xml:space="preserve">   </w:t>
            </w:r>
            <w:r>
              <w:rPr>
                <w:rFonts w:hint="eastAsia" w:ascii="华文仿宋" w:hAnsi="华文仿宋" w:eastAsia="华文仿宋" w:cs="华文仿宋"/>
                <w:sz w:val="28"/>
                <w:szCs w:val="28"/>
              </w:rPr>
              <w:t>月</w:t>
            </w:r>
            <w:r>
              <w:rPr>
                <w:rFonts w:ascii="华文仿宋" w:hAnsi="华文仿宋" w:eastAsia="华文仿宋" w:cs="华文仿宋"/>
                <w:sz w:val="28"/>
                <w:szCs w:val="28"/>
              </w:rPr>
              <w:t xml:space="preserve">   </w:t>
            </w:r>
            <w:r>
              <w:rPr>
                <w:rFonts w:hint="eastAsia" w:ascii="华文仿宋" w:hAnsi="华文仿宋" w:eastAsia="华文仿宋" w:cs="华文仿宋"/>
                <w:sz w:val="28"/>
                <w:szCs w:val="28"/>
              </w:rPr>
              <w:t>日</w:t>
            </w:r>
          </w:p>
        </w:tc>
      </w:tr>
    </w:tbl>
    <w:p>
      <w:pPr>
        <w:spacing w:line="540" w:lineRule="auto"/>
        <w:jc w:val="left"/>
        <w:rPr>
          <w:rFonts w:ascii="华文仿宋" w:hAnsi="华文仿宋" w:eastAsia="华文仿宋" w:cs="华文仿宋"/>
          <w:sz w:val="30"/>
        </w:rPr>
      </w:pPr>
    </w:p>
    <w:sectPr>
      <w:headerReference r:id="rId3" w:type="default"/>
      <w:pgSz w:w="11906" w:h="16838"/>
      <w:pgMar w:top="1134" w:right="1418" w:bottom="1134" w:left="1418" w:header="851" w:footer="992" w:gutter="0"/>
      <w:cols w:space="425" w:num="1"/>
      <w:docGrid w:type="linesAndChars" w:linePitch="286"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93"/>
  <w:drawingGridVerticalSpacing w:val="143"/>
  <w:displayVertic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C9"/>
    <w:rsid w:val="00172459"/>
    <w:rsid w:val="00180403"/>
    <w:rsid w:val="001A1BDC"/>
    <w:rsid w:val="002C2C84"/>
    <w:rsid w:val="002E3D8E"/>
    <w:rsid w:val="004723F4"/>
    <w:rsid w:val="004E19C5"/>
    <w:rsid w:val="006160F4"/>
    <w:rsid w:val="007214AF"/>
    <w:rsid w:val="008475F0"/>
    <w:rsid w:val="00973D39"/>
    <w:rsid w:val="009A5A94"/>
    <w:rsid w:val="00AF435B"/>
    <w:rsid w:val="00C63DC9"/>
    <w:rsid w:val="00DC6B46"/>
    <w:rsid w:val="00E701DD"/>
    <w:rsid w:val="00EA59A2"/>
    <w:rsid w:val="00ED400D"/>
    <w:rsid w:val="00F85FA1"/>
    <w:rsid w:val="046E2FEC"/>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E94DD-21A7-45A3-B91C-1A514B25B159}">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162</Words>
  <Characters>930</Characters>
  <Lines>7</Lines>
  <Paragraphs>2</Paragraphs>
  <TotalTime>0</TotalTime>
  <ScaleCrop>false</ScaleCrop>
  <LinksUpToDate>false</LinksUpToDate>
  <CharactersWithSpaces>1090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2015-05-14T02:11:00Z</dcterms:created>
  <dc:creator>Administrator</dc:creator>
  <cp:lastModifiedBy>Administrator</cp:lastModifiedBy>
  <cp:lastPrinted>2015-05-14T03:04:00Z</cp:lastPrinted>
  <dcterms:modified xsi:type="dcterms:W3CDTF">2017-03-27T08:16:26Z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